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49AF" w14:textId="77777777" w:rsidR="00707016" w:rsidRPr="00A24080" w:rsidRDefault="00707016" w:rsidP="00707016">
      <w:pPr>
        <w:jc w:val="center"/>
        <w:rPr>
          <w:b/>
          <w:sz w:val="22"/>
          <w:szCs w:val="22"/>
          <w:lang w:val="ro-RO"/>
        </w:rPr>
      </w:pPr>
      <w:bookmarkStart w:id="0" w:name="_Hlk167976577"/>
      <w:r w:rsidRPr="00A24080">
        <w:rPr>
          <w:b/>
          <w:sz w:val="22"/>
          <w:szCs w:val="22"/>
          <w:lang w:val="ro-RO"/>
        </w:rPr>
        <w:t>Tabelul de concordanţă</w:t>
      </w:r>
    </w:p>
    <w:p w14:paraId="44699890" w14:textId="77777777" w:rsidR="00707016" w:rsidRPr="00A24080" w:rsidRDefault="00707016" w:rsidP="00707016">
      <w:pPr>
        <w:jc w:val="center"/>
        <w:rPr>
          <w:b/>
          <w:sz w:val="22"/>
          <w:szCs w:val="22"/>
          <w:lang w:val="ro-RO"/>
        </w:rPr>
      </w:pPr>
      <w:r w:rsidRPr="00A24080">
        <w:rPr>
          <w:b/>
          <w:sz w:val="22"/>
          <w:szCs w:val="22"/>
          <w:lang w:val="ro-RO"/>
        </w:rPr>
        <w:t>al Instrucțiunii cu privire la prezentarea de către bănci a rapoartelor COREP în scopuri de supraveghere, aprobate</w:t>
      </w:r>
    </w:p>
    <w:p w14:paraId="220EABEC" w14:textId="77777777" w:rsidR="00707016" w:rsidRPr="00A24080" w:rsidRDefault="00707016" w:rsidP="00707016">
      <w:pPr>
        <w:jc w:val="center"/>
        <w:rPr>
          <w:rFonts w:eastAsia="Arial Unicode MS"/>
          <w:b/>
          <w:bCs/>
          <w:sz w:val="22"/>
          <w:szCs w:val="22"/>
          <w:lang w:val="it-IT"/>
        </w:rPr>
      </w:pPr>
      <w:r w:rsidRPr="00A24080">
        <w:rPr>
          <w:b/>
          <w:sz w:val="22"/>
          <w:szCs w:val="22"/>
          <w:lang w:val="ro-RO"/>
        </w:rPr>
        <w:t>prin Hotărârea Comitetului executiv al Băncii Naţionale a Moldovei nr. 117/2018 cu</w:t>
      </w:r>
    </w:p>
    <w:p w14:paraId="27E64DE2" w14:textId="05C4D262" w:rsidR="00707016" w:rsidRPr="00A24080" w:rsidRDefault="00707016" w:rsidP="00707016">
      <w:pPr>
        <w:jc w:val="center"/>
        <w:rPr>
          <w:rFonts w:eastAsia="Arial Unicode MS"/>
          <w:b/>
          <w:bCs/>
          <w:sz w:val="22"/>
          <w:szCs w:val="22"/>
          <w:lang w:val="it-IT"/>
        </w:rPr>
      </w:pPr>
      <w:r w:rsidRPr="00A24080">
        <w:rPr>
          <w:rFonts w:eastAsia="Arial Unicode MS"/>
          <w:b/>
          <w:bCs/>
          <w:sz w:val="22"/>
          <w:szCs w:val="22"/>
          <w:lang w:val="it-IT"/>
        </w:rPr>
        <w:t>REGULAMENTUL DE PUNERE ÎN APLICARE (UE) 202</w:t>
      </w:r>
      <w:r w:rsidR="004C512D" w:rsidRPr="00A24080">
        <w:rPr>
          <w:rFonts w:eastAsia="Arial Unicode MS"/>
          <w:b/>
          <w:bCs/>
          <w:sz w:val="22"/>
          <w:szCs w:val="22"/>
          <w:lang w:val="it-IT"/>
        </w:rPr>
        <w:t>4</w:t>
      </w:r>
      <w:r w:rsidRPr="00A24080">
        <w:rPr>
          <w:rFonts w:eastAsia="Arial Unicode MS"/>
          <w:b/>
          <w:bCs/>
          <w:sz w:val="22"/>
          <w:szCs w:val="22"/>
          <w:lang w:val="it-IT"/>
        </w:rPr>
        <w:t>/</w:t>
      </w:r>
      <w:r w:rsidR="004C512D" w:rsidRPr="00A24080">
        <w:rPr>
          <w:rFonts w:eastAsia="Arial Unicode MS"/>
          <w:b/>
          <w:bCs/>
          <w:sz w:val="22"/>
          <w:szCs w:val="22"/>
          <w:lang w:val="it-IT"/>
        </w:rPr>
        <w:t>3117</w:t>
      </w:r>
      <w:r w:rsidRPr="00A24080">
        <w:rPr>
          <w:rFonts w:eastAsia="Arial Unicode MS"/>
          <w:b/>
          <w:bCs/>
          <w:sz w:val="22"/>
          <w:szCs w:val="22"/>
          <w:lang w:val="it-IT"/>
        </w:rPr>
        <w:t xml:space="preserve"> AL COMISIEI </w:t>
      </w:r>
    </w:p>
    <w:p w14:paraId="4946A613" w14:textId="0C713EE9" w:rsidR="00707016" w:rsidRPr="00A24080" w:rsidRDefault="00707016" w:rsidP="00707016">
      <w:pPr>
        <w:jc w:val="center"/>
        <w:rPr>
          <w:rFonts w:eastAsia="Arial Unicode MS"/>
          <w:b/>
          <w:bCs/>
          <w:sz w:val="22"/>
          <w:szCs w:val="22"/>
          <w:lang w:val="en-US"/>
        </w:rPr>
      </w:pPr>
      <w:r w:rsidRPr="00A24080">
        <w:rPr>
          <w:rFonts w:eastAsia="Arial Unicode MS"/>
          <w:b/>
          <w:bCs/>
          <w:sz w:val="22"/>
          <w:szCs w:val="22"/>
          <w:lang w:val="en-US"/>
        </w:rPr>
        <w:t xml:space="preserve">din </w:t>
      </w:r>
      <w:r w:rsidR="004C512D" w:rsidRPr="00A24080">
        <w:rPr>
          <w:rFonts w:eastAsia="Arial Unicode MS"/>
          <w:b/>
          <w:bCs/>
          <w:sz w:val="22"/>
          <w:szCs w:val="22"/>
          <w:lang w:val="en-US"/>
        </w:rPr>
        <w:t>29 noiembrie</w:t>
      </w:r>
      <w:r w:rsidRPr="00A24080">
        <w:rPr>
          <w:rFonts w:eastAsia="Arial Unicode MS"/>
          <w:b/>
          <w:bCs/>
          <w:sz w:val="22"/>
          <w:szCs w:val="22"/>
          <w:lang w:val="en-US"/>
        </w:rPr>
        <w:t xml:space="preserve"> 202</w:t>
      </w:r>
      <w:r w:rsidR="004C512D" w:rsidRPr="00A24080">
        <w:rPr>
          <w:rFonts w:eastAsia="Arial Unicode MS"/>
          <w:b/>
          <w:bCs/>
          <w:sz w:val="22"/>
          <w:szCs w:val="22"/>
          <w:lang w:val="en-US"/>
        </w:rPr>
        <w:t>4</w:t>
      </w:r>
      <w:r w:rsidRPr="00A24080">
        <w:rPr>
          <w:rFonts w:eastAsia="Arial Unicode MS"/>
          <w:b/>
          <w:bCs/>
          <w:sz w:val="22"/>
          <w:szCs w:val="22"/>
          <w:lang w:val="en-US"/>
        </w:rPr>
        <w:t xml:space="preserve"> </w:t>
      </w:r>
    </w:p>
    <w:tbl>
      <w:tblPr>
        <w:tblStyle w:val="TableGrid"/>
        <w:tblW w:w="0" w:type="auto"/>
        <w:tblLook w:val="04A0" w:firstRow="1" w:lastRow="0" w:firstColumn="1" w:lastColumn="0" w:noHBand="0" w:noVBand="1"/>
      </w:tblPr>
      <w:tblGrid>
        <w:gridCol w:w="14560"/>
      </w:tblGrid>
      <w:tr w:rsidR="00707016" w:rsidRPr="00EE7DB0" w14:paraId="43348AE8" w14:textId="77777777" w:rsidTr="004C512D">
        <w:trPr>
          <w:trHeight w:val="931"/>
        </w:trPr>
        <w:tc>
          <w:tcPr>
            <w:tcW w:w="14560" w:type="dxa"/>
          </w:tcPr>
          <w:bookmarkEnd w:id="0"/>
          <w:p w14:paraId="365E11FA" w14:textId="77777777" w:rsidR="00707016" w:rsidRPr="00A24080" w:rsidRDefault="00707016" w:rsidP="00900BF0">
            <w:pPr>
              <w:tabs>
                <w:tab w:val="left" w:pos="288"/>
              </w:tabs>
              <w:jc w:val="both"/>
              <w:rPr>
                <w:b/>
                <w:bCs/>
                <w:sz w:val="22"/>
                <w:szCs w:val="22"/>
                <w:lang w:val="ro-RO"/>
              </w:rPr>
            </w:pPr>
            <w:r w:rsidRPr="00A24080">
              <w:rPr>
                <w:rFonts w:eastAsia="Arial Unicode MS"/>
                <w:b/>
                <w:bCs/>
                <w:sz w:val="22"/>
                <w:szCs w:val="22"/>
                <w:lang w:val="en-US"/>
              </w:rPr>
              <w:t xml:space="preserve">1. Titlul actului UE, inclusiv cea mai recentă modificare, </w:t>
            </w:r>
            <w:proofErr w:type="gramStart"/>
            <w:r w:rsidRPr="00A24080">
              <w:rPr>
                <w:rFonts w:eastAsia="Arial Unicode MS"/>
                <w:b/>
                <w:bCs/>
                <w:sz w:val="22"/>
                <w:szCs w:val="22"/>
                <w:lang w:val="en-US"/>
              </w:rPr>
              <w:t>nr.CELEX</w:t>
            </w:r>
            <w:proofErr w:type="gramEnd"/>
            <w:r w:rsidRPr="00A24080">
              <w:rPr>
                <w:rFonts w:eastAsia="Arial Unicode MS"/>
                <w:b/>
                <w:bCs/>
                <w:sz w:val="22"/>
                <w:szCs w:val="22"/>
                <w:lang w:val="en-US"/>
              </w:rPr>
              <w:t xml:space="preserve"> </w:t>
            </w:r>
          </w:p>
          <w:p w14:paraId="51E46CF3" w14:textId="79E8B6A0" w:rsidR="00707016" w:rsidRPr="00A24080" w:rsidRDefault="00707016" w:rsidP="00900BF0">
            <w:pPr>
              <w:jc w:val="both"/>
              <w:rPr>
                <w:b/>
                <w:bCs/>
                <w:sz w:val="22"/>
                <w:szCs w:val="22"/>
                <w:lang w:val="ro-RO"/>
              </w:rPr>
            </w:pPr>
            <w:r w:rsidRPr="00A24080">
              <w:rPr>
                <w:sz w:val="22"/>
                <w:szCs w:val="22"/>
                <w:lang w:val="en-US"/>
              </w:rPr>
              <w:t xml:space="preserve"> </w:t>
            </w:r>
            <w:r w:rsidRPr="00A24080">
              <w:rPr>
                <w:rFonts w:eastAsia="Arial Unicode MS"/>
                <w:b/>
                <w:bCs/>
                <w:sz w:val="22"/>
                <w:szCs w:val="22"/>
                <w:lang w:val="ro-RO"/>
              </w:rPr>
              <w:t>REGULAMENTUL DE PUNERE ÎN APLICARE (UE) 202</w:t>
            </w:r>
            <w:r w:rsidR="004C512D" w:rsidRPr="00A24080">
              <w:rPr>
                <w:rFonts w:eastAsia="Arial Unicode MS"/>
                <w:b/>
                <w:bCs/>
                <w:sz w:val="22"/>
                <w:szCs w:val="22"/>
                <w:lang w:val="ro-RO"/>
              </w:rPr>
              <w:t>4</w:t>
            </w:r>
            <w:r w:rsidRPr="00A24080">
              <w:rPr>
                <w:rFonts w:eastAsia="Arial Unicode MS"/>
                <w:b/>
                <w:bCs/>
                <w:sz w:val="22"/>
                <w:szCs w:val="22"/>
                <w:lang w:val="ro-RO"/>
              </w:rPr>
              <w:t>/</w:t>
            </w:r>
            <w:r w:rsidR="004C512D" w:rsidRPr="00A24080">
              <w:rPr>
                <w:rFonts w:eastAsia="Arial Unicode MS"/>
                <w:b/>
                <w:bCs/>
                <w:sz w:val="22"/>
                <w:szCs w:val="22"/>
                <w:lang w:val="ro-RO"/>
              </w:rPr>
              <w:t>3117</w:t>
            </w:r>
            <w:r w:rsidRPr="00A24080">
              <w:rPr>
                <w:rFonts w:eastAsia="Arial Unicode MS"/>
                <w:b/>
                <w:bCs/>
                <w:sz w:val="22"/>
                <w:szCs w:val="22"/>
                <w:lang w:val="ro-RO"/>
              </w:rPr>
              <w:t xml:space="preserve"> AL COMISIEI </w:t>
            </w:r>
            <w:r w:rsidR="004C512D" w:rsidRPr="00A24080">
              <w:rPr>
                <w:rFonts w:eastAsia="Arial Unicode MS"/>
                <w:b/>
                <w:bCs/>
                <w:sz w:val="22"/>
                <w:szCs w:val="22"/>
                <w:lang w:val="ro-RO"/>
              </w:rPr>
              <w:t xml:space="preserve">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2021/451 al Comisiei </w:t>
            </w:r>
            <w:r w:rsidRPr="00A24080">
              <w:rPr>
                <w:rFonts w:eastAsia="Arial Unicode MS"/>
                <w:b/>
                <w:bCs/>
                <w:sz w:val="22"/>
                <w:szCs w:val="22"/>
                <w:lang w:val="ro-RO"/>
              </w:rPr>
              <w:t xml:space="preserve"> (CELEX: 3202</w:t>
            </w:r>
            <w:r w:rsidR="004C512D" w:rsidRPr="00A24080">
              <w:rPr>
                <w:rFonts w:eastAsia="Arial Unicode MS"/>
                <w:b/>
                <w:bCs/>
                <w:sz w:val="22"/>
                <w:szCs w:val="22"/>
                <w:lang w:val="ro-RO"/>
              </w:rPr>
              <w:t>4</w:t>
            </w:r>
            <w:r w:rsidRPr="00A24080">
              <w:rPr>
                <w:rFonts w:eastAsia="Arial Unicode MS"/>
                <w:b/>
                <w:bCs/>
                <w:sz w:val="22"/>
                <w:szCs w:val="22"/>
                <w:lang w:val="ro-RO"/>
              </w:rPr>
              <w:t>R</w:t>
            </w:r>
            <w:r w:rsidR="004C512D" w:rsidRPr="00A24080">
              <w:rPr>
                <w:rFonts w:eastAsia="Arial Unicode MS"/>
                <w:b/>
                <w:bCs/>
                <w:sz w:val="22"/>
                <w:szCs w:val="22"/>
                <w:lang w:val="ro-RO"/>
              </w:rPr>
              <w:t>3117</w:t>
            </w:r>
            <w:r w:rsidRPr="00A24080">
              <w:rPr>
                <w:rFonts w:eastAsia="Arial Unicode MS"/>
                <w:b/>
                <w:bCs/>
                <w:sz w:val="22"/>
                <w:szCs w:val="22"/>
                <w:lang w:val="ro-RO"/>
              </w:rPr>
              <w:t xml:space="preserve">), publicat în Jurnalul Oficial al Uniunii Europene </w:t>
            </w:r>
            <w:r w:rsidR="0034180E" w:rsidRPr="00A24080">
              <w:rPr>
                <w:rFonts w:eastAsia="Arial Unicode MS"/>
                <w:b/>
                <w:bCs/>
                <w:sz w:val="22"/>
                <w:szCs w:val="22"/>
                <w:lang w:val="ro-RO"/>
              </w:rPr>
              <w:t xml:space="preserve">seria </w:t>
            </w:r>
            <w:r w:rsidRPr="00A24080">
              <w:rPr>
                <w:rFonts w:eastAsia="Arial Unicode MS"/>
                <w:b/>
                <w:bCs/>
                <w:sz w:val="22"/>
                <w:szCs w:val="22"/>
                <w:lang w:val="ro-RO"/>
              </w:rPr>
              <w:t xml:space="preserve">L din </w:t>
            </w:r>
            <w:r w:rsidR="004C512D" w:rsidRPr="00A24080">
              <w:rPr>
                <w:rFonts w:eastAsia="Arial Unicode MS"/>
                <w:b/>
                <w:bCs/>
                <w:sz w:val="22"/>
                <w:szCs w:val="22"/>
                <w:lang w:val="ro-RO"/>
              </w:rPr>
              <w:t>27 decembrie 2024</w:t>
            </w:r>
          </w:p>
        </w:tc>
      </w:tr>
      <w:tr w:rsidR="00707016" w:rsidRPr="00EE7DB0" w14:paraId="3AF61E53" w14:textId="77777777" w:rsidTr="00B22FCA">
        <w:trPr>
          <w:trHeight w:val="691"/>
        </w:trPr>
        <w:tc>
          <w:tcPr>
            <w:tcW w:w="14560" w:type="dxa"/>
          </w:tcPr>
          <w:p w14:paraId="51C1BDF2" w14:textId="77777777" w:rsidR="00707016" w:rsidRPr="00A24080" w:rsidRDefault="00707016" w:rsidP="00900BF0">
            <w:pPr>
              <w:tabs>
                <w:tab w:val="left" w:pos="284"/>
              </w:tabs>
              <w:jc w:val="both"/>
              <w:rPr>
                <w:b/>
                <w:bCs/>
                <w:sz w:val="22"/>
                <w:szCs w:val="22"/>
                <w:lang w:val="ro-RO"/>
              </w:rPr>
            </w:pPr>
            <w:r w:rsidRPr="00A24080">
              <w:rPr>
                <w:b/>
                <w:bCs/>
                <w:sz w:val="22"/>
                <w:szCs w:val="22"/>
                <w:lang w:val="ro-RO"/>
              </w:rPr>
              <w:t>2. Titlul proiectului de act normativ naţional</w:t>
            </w:r>
          </w:p>
          <w:p w14:paraId="05F24963" w14:textId="0DDD04EB" w:rsidR="00707016" w:rsidRPr="00A24080" w:rsidRDefault="00707016" w:rsidP="00900BF0">
            <w:pPr>
              <w:jc w:val="both"/>
              <w:rPr>
                <w:b/>
                <w:bCs/>
                <w:sz w:val="22"/>
                <w:szCs w:val="22"/>
                <w:lang w:val="ro-RO"/>
              </w:rPr>
            </w:pPr>
            <w:bookmarkStart w:id="1" w:name="_Hlk194481942"/>
            <w:r w:rsidRPr="00A24080">
              <w:rPr>
                <w:b/>
                <w:bCs/>
                <w:color w:val="000000"/>
                <w:sz w:val="22"/>
                <w:szCs w:val="22"/>
                <w:u w:val="single"/>
                <w:lang w:val="ro-RO"/>
              </w:rPr>
              <w:t>Hotărârea Comitetului executiv al Băncii Naţionale a Moldovei nr.XX/</w:t>
            </w:r>
            <w:r w:rsidR="002C2EBE" w:rsidRPr="00A24080">
              <w:rPr>
                <w:b/>
                <w:bCs/>
                <w:color w:val="000000"/>
                <w:sz w:val="22"/>
                <w:szCs w:val="22"/>
                <w:u w:val="single"/>
                <w:lang w:val="ro-RO"/>
              </w:rPr>
              <w:t>202</w:t>
            </w:r>
            <w:r w:rsidR="002C2EBE">
              <w:rPr>
                <w:b/>
                <w:bCs/>
                <w:color w:val="000000"/>
                <w:sz w:val="22"/>
                <w:szCs w:val="22"/>
                <w:u w:val="single"/>
                <w:lang w:val="ro-RO"/>
              </w:rPr>
              <w:t>6</w:t>
            </w:r>
            <w:r w:rsidR="002C2EBE" w:rsidRPr="00A24080">
              <w:rPr>
                <w:b/>
                <w:bCs/>
                <w:color w:val="000000"/>
                <w:sz w:val="22"/>
                <w:szCs w:val="22"/>
                <w:u w:val="single"/>
                <w:lang w:val="ro-RO"/>
              </w:rPr>
              <w:t xml:space="preserve"> </w:t>
            </w:r>
            <w:r w:rsidR="0028208B">
              <w:rPr>
                <w:b/>
                <w:bCs/>
                <w:color w:val="000000"/>
                <w:sz w:val="22"/>
                <w:szCs w:val="22"/>
                <w:u w:val="single"/>
                <w:lang w:val="ro-RO"/>
              </w:rPr>
              <w:t>„</w:t>
            </w:r>
            <w:r w:rsidRPr="00A24080">
              <w:rPr>
                <w:b/>
                <w:bCs/>
                <w:color w:val="000000"/>
                <w:sz w:val="22"/>
                <w:szCs w:val="22"/>
                <w:u w:val="single"/>
                <w:lang w:val="ro-RO"/>
              </w:rPr>
              <w:t xml:space="preserve">Pentru modificarea </w:t>
            </w:r>
            <w:r w:rsidR="002C79CF" w:rsidRPr="00A24080">
              <w:rPr>
                <w:b/>
                <w:bCs/>
                <w:color w:val="000000"/>
                <w:sz w:val="22"/>
                <w:szCs w:val="22"/>
                <w:u w:val="single"/>
                <w:lang w:val="ro-RO"/>
              </w:rPr>
              <w:t xml:space="preserve">unor acte normative ale BNM (privind raportarea cerinței de fonduri proprii pentru riscul </w:t>
            </w:r>
            <w:r w:rsidR="00FB66EB" w:rsidRPr="00A24080">
              <w:rPr>
                <w:b/>
                <w:bCs/>
                <w:color w:val="000000"/>
                <w:sz w:val="22"/>
                <w:szCs w:val="22"/>
                <w:u w:val="single"/>
                <w:lang w:val="ro-RO"/>
              </w:rPr>
              <w:t>de piață</w:t>
            </w:r>
            <w:r w:rsidR="002C79CF" w:rsidRPr="00A24080">
              <w:rPr>
                <w:b/>
                <w:bCs/>
                <w:color w:val="000000"/>
                <w:sz w:val="22"/>
                <w:szCs w:val="22"/>
                <w:u w:val="single"/>
                <w:lang w:val="ro-RO"/>
              </w:rPr>
              <w:t>)”</w:t>
            </w:r>
            <w:bookmarkEnd w:id="1"/>
          </w:p>
        </w:tc>
      </w:tr>
      <w:tr w:rsidR="00707016" w:rsidRPr="00A24080" w14:paraId="174E016B" w14:textId="77777777" w:rsidTr="00900BF0">
        <w:tc>
          <w:tcPr>
            <w:tcW w:w="14560" w:type="dxa"/>
          </w:tcPr>
          <w:p w14:paraId="0EF63B4F" w14:textId="77777777" w:rsidR="00707016" w:rsidRPr="00A24080" w:rsidRDefault="00707016" w:rsidP="00900BF0">
            <w:pPr>
              <w:jc w:val="both"/>
              <w:rPr>
                <w:sz w:val="22"/>
                <w:szCs w:val="22"/>
                <w:lang w:val="ro-RO"/>
              </w:rPr>
            </w:pPr>
            <w:r w:rsidRPr="00A24080">
              <w:rPr>
                <w:b/>
                <w:bCs/>
                <w:sz w:val="22"/>
                <w:szCs w:val="22"/>
                <w:lang w:val="ro-RO"/>
              </w:rPr>
              <w:t xml:space="preserve">3. Gradul de compatibilitate - </w:t>
            </w:r>
            <w:r w:rsidRPr="00A24080">
              <w:rPr>
                <w:rFonts w:eastAsia="MS Mincho"/>
                <w:bCs/>
                <w:sz w:val="22"/>
                <w:szCs w:val="22"/>
                <w:lang w:val="ro-RO"/>
              </w:rPr>
              <w:t>parţial compatibil</w:t>
            </w:r>
          </w:p>
        </w:tc>
      </w:tr>
      <w:tr w:rsidR="00707016" w:rsidRPr="00EE7DB0" w14:paraId="5ED7EA2D" w14:textId="77777777" w:rsidTr="00900BF0">
        <w:tc>
          <w:tcPr>
            <w:tcW w:w="14560" w:type="dxa"/>
          </w:tcPr>
          <w:p w14:paraId="269936CC" w14:textId="77777777" w:rsidR="00707016" w:rsidRPr="00A24080" w:rsidRDefault="00707016" w:rsidP="00900BF0">
            <w:pPr>
              <w:jc w:val="both"/>
              <w:rPr>
                <w:b/>
                <w:bCs/>
                <w:sz w:val="22"/>
                <w:szCs w:val="22"/>
                <w:lang w:val="ro-RO"/>
              </w:rPr>
            </w:pPr>
            <w:r w:rsidRPr="00A24080">
              <w:rPr>
                <w:b/>
                <w:bCs/>
                <w:sz w:val="22"/>
                <w:szCs w:val="22"/>
                <w:lang w:val="ro-RO"/>
              </w:rPr>
              <w:t xml:space="preserve">4. Autoritatea/persoana responsabilă: </w:t>
            </w:r>
            <w:r w:rsidRPr="00EE7DB0">
              <w:rPr>
                <w:sz w:val="22"/>
                <w:szCs w:val="22"/>
                <w:lang w:val="ro-RO"/>
              </w:rPr>
              <w:t>Banca Națională a Moldovei</w:t>
            </w:r>
          </w:p>
        </w:tc>
      </w:tr>
      <w:tr w:rsidR="00707016" w:rsidRPr="00A24080" w14:paraId="537A6206" w14:textId="77777777" w:rsidTr="00900BF0">
        <w:tc>
          <w:tcPr>
            <w:tcW w:w="14560" w:type="dxa"/>
          </w:tcPr>
          <w:p w14:paraId="1C3FB7C9" w14:textId="67B9355B" w:rsidR="00707016" w:rsidRPr="00A24080" w:rsidRDefault="00707016" w:rsidP="00900BF0">
            <w:pPr>
              <w:jc w:val="both"/>
              <w:rPr>
                <w:b/>
                <w:bCs/>
                <w:sz w:val="22"/>
                <w:szCs w:val="22"/>
                <w:lang w:val="ro-RO"/>
              </w:rPr>
            </w:pPr>
            <w:r w:rsidRPr="00A24080">
              <w:rPr>
                <w:b/>
                <w:bCs/>
                <w:sz w:val="22"/>
                <w:szCs w:val="22"/>
                <w:lang w:val="ro-RO"/>
              </w:rPr>
              <w:t xml:space="preserve">5. Data întocmirii /actualizării: </w:t>
            </w:r>
            <w:r w:rsidR="00EE7DB0" w:rsidRPr="00EE7DB0">
              <w:rPr>
                <w:sz w:val="22"/>
                <w:szCs w:val="22"/>
                <w:lang w:val="ro-RO"/>
              </w:rPr>
              <w:t>19.06.</w:t>
            </w:r>
            <w:r w:rsidR="00FB66EB" w:rsidRPr="00EE7DB0">
              <w:rPr>
                <w:sz w:val="22"/>
                <w:szCs w:val="22"/>
                <w:lang w:val="ro-RO"/>
              </w:rPr>
              <w:t>2026</w:t>
            </w:r>
          </w:p>
        </w:tc>
      </w:tr>
    </w:tbl>
    <w:p w14:paraId="190F6F60" w14:textId="77777777" w:rsidR="00707016" w:rsidRPr="00A24080" w:rsidRDefault="00707016" w:rsidP="00707016">
      <w:pPr>
        <w:jc w:val="both"/>
        <w:rPr>
          <w:b/>
          <w:bCs/>
          <w:sz w:val="22"/>
          <w:szCs w:val="22"/>
          <w:lang w:val="ro-RO"/>
        </w:rPr>
      </w:pPr>
    </w:p>
    <w:p w14:paraId="00307EA2" w14:textId="77777777" w:rsidR="00707016" w:rsidRPr="00A24080" w:rsidRDefault="00707016" w:rsidP="00707016">
      <w:pPr>
        <w:jc w:val="both"/>
        <w:rPr>
          <w:b/>
          <w:bCs/>
          <w:sz w:val="22"/>
          <w:szCs w:val="22"/>
          <w:lang w:val="ro-RO"/>
        </w:rPr>
      </w:pPr>
    </w:p>
    <w:p w14:paraId="5F76CEA3" w14:textId="77777777" w:rsidR="00707016" w:rsidRPr="00A24080" w:rsidRDefault="00707016" w:rsidP="00707016">
      <w:pPr>
        <w:jc w:val="both"/>
        <w:rPr>
          <w:vanish/>
          <w:sz w:val="22"/>
          <w:szCs w:val="22"/>
          <w:lang w:val="ro-RO"/>
        </w:rPr>
      </w:pPr>
    </w:p>
    <w:tbl>
      <w:tblPr>
        <w:tblpPr w:leftFromText="180" w:rightFromText="180" w:vertAnchor="text" w:tblpX="-612" w:tblpY="1"/>
        <w:tblOverlap w:val="never"/>
        <w:tblW w:w="15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3"/>
        <w:gridCol w:w="5103"/>
        <w:gridCol w:w="1418"/>
        <w:gridCol w:w="3544"/>
      </w:tblGrid>
      <w:tr w:rsidR="00707016" w:rsidRPr="00A24080" w14:paraId="7E29C4D4" w14:textId="77777777" w:rsidTr="0028208B">
        <w:trPr>
          <w:trHeight w:val="723"/>
          <w:tblHeader/>
        </w:trPr>
        <w:tc>
          <w:tcPr>
            <w:tcW w:w="5143" w:type="dxa"/>
          </w:tcPr>
          <w:p w14:paraId="6BE22F7C" w14:textId="77777777" w:rsidR="00707016" w:rsidRPr="00A24080" w:rsidRDefault="00707016" w:rsidP="0028208B">
            <w:pPr>
              <w:ind w:right="90"/>
              <w:jc w:val="both"/>
              <w:rPr>
                <w:b/>
                <w:bCs/>
                <w:sz w:val="22"/>
                <w:szCs w:val="22"/>
                <w:lang w:val="ro-RO"/>
              </w:rPr>
            </w:pPr>
            <w:r w:rsidRPr="00A24080">
              <w:rPr>
                <w:b/>
                <w:sz w:val="22"/>
                <w:szCs w:val="22"/>
                <w:lang w:val="ro-RO"/>
              </w:rPr>
              <w:lastRenderedPageBreak/>
              <w:t>Actul Uniunii Europene</w:t>
            </w:r>
          </w:p>
        </w:tc>
        <w:tc>
          <w:tcPr>
            <w:tcW w:w="5103" w:type="dxa"/>
          </w:tcPr>
          <w:p w14:paraId="5F44A254" w14:textId="77777777" w:rsidR="00707016" w:rsidRPr="00A24080" w:rsidRDefault="00707016" w:rsidP="0028208B">
            <w:pPr>
              <w:jc w:val="both"/>
              <w:rPr>
                <w:bCs/>
                <w:sz w:val="22"/>
                <w:szCs w:val="22"/>
                <w:lang w:val="ro-RO"/>
              </w:rPr>
            </w:pPr>
            <w:r w:rsidRPr="00A24080">
              <w:rPr>
                <w:b/>
                <w:sz w:val="22"/>
                <w:szCs w:val="22"/>
                <w:lang w:val="ro-RO"/>
              </w:rPr>
              <w:t>Proiectul de act normativ național</w:t>
            </w:r>
          </w:p>
        </w:tc>
        <w:tc>
          <w:tcPr>
            <w:tcW w:w="1418" w:type="dxa"/>
          </w:tcPr>
          <w:p w14:paraId="67145B23" w14:textId="77777777" w:rsidR="00707016" w:rsidRPr="00A24080" w:rsidRDefault="00707016" w:rsidP="0028208B">
            <w:pPr>
              <w:ind w:left="-84" w:right="-112"/>
              <w:jc w:val="both"/>
              <w:rPr>
                <w:b/>
                <w:bCs/>
                <w:sz w:val="22"/>
                <w:szCs w:val="22"/>
                <w:lang w:val="ro-RO"/>
              </w:rPr>
            </w:pPr>
            <w:r w:rsidRPr="00A24080">
              <w:rPr>
                <w:b/>
                <w:sz w:val="22"/>
                <w:szCs w:val="22"/>
                <w:lang w:val="ro-RO"/>
              </w:rPr>
              <w:t>Gradul de compatibilitate</w:t>
            </w:r>
          </w:p>
        </w:tc>
        <w:tc>
          <w:tcPr>
            <w:tcW w:w="3544" w:type="dxa"/>
          </w:tcPr>
          <w:p w14:paraId="12F939C4" w14:textId="77777777" w:rsidR="00707016" w:rsidRPr="00A24080" w:rsidRDefault="00707016" w:rsidP="0028208B">
            <w:pPr>
              <w:jc w:val="both"/>
              <w:rPr>
                <w:bCs/>
                <w:sz w:val="22"/>
                <w:szCs w:val="22"/>
                <w:lang w:val="ro-RO"/>
              </w:rPr>
            </w:pPr>
            <w:r w:rsidRPr="00A24080">
              <w:rPr>
                <w:b/>
                <w:sz w:val="22"/>
                <w:szCs w:val="22"/>
                <w:lang w:val="ro-RO"/>
              </w:rPr>
              <w:t>Observații</w:t>
            </w:r>
          </w:p>
        </w:tc>
      </w:tr>
      <w:tr w:rsidR="00707016" w:rsidRPr="00A24080" w14:paraId="7FC3AAA4" w14:textId="77777777" w:rsidTr="0028208B">
        <w:trPr>
          <w:tblHeader/>
        </w:trPr>
        <w:tc>
          <w:tcPr>
            <w:tcW w:w="5143" w:type="dxa"/>
          </w:tcPr>
          <w:p w14:paraId="2370F4CD" w14:textId="77777777" w:rsidR="00707016" w:rsidRPr="00A24080" w:rsidRDefault="00707016" w:rsidP="0028208B">
            <w:pPr>
              <w:pStyle w:val="BodyTextIndent"/>
              <w:spacing w:before="0"/>
              <w:ind w:right="90" w:firstLine="0"/>
              <w:rPr>
                <w:rFonts w:eastAsia="MS Mincho"/>
                <w:b/>
                <w:sz w:val="22"/>
                <w:szCs w:val="22"/>
                <w:lang w:val="ro-RO"/>
              </w:rPr>
            </w:pPr>
            <w:r w:rsidRPr="00A24080">
              <w:rPr>
                <w:rFonts w:eastAsia="MS Mincho"/>
                <w:b/>
                <w:sz w:val="22"/>
                <w:szCs w:val="22"/>
                <w:lang w:val="ro-RO"/>
              </w:rPr>
              <w:t>6</w:t>
            </w:r>
          </w:p>
        </w:tc>
        <w:tc>
          <w:tcPr>
            <w:tcW w:w="5103" w:type="dxa"/>
          </w:tcPr>
          <w:p w14:paraId="3F6C12A5" w14:textId="77777777" w:rsidR="00707016" w:rsidRPr="00A24080" w:rsidRDefault="00707016" w:rsidP="0028208B">
            <w:pPr>
              <w:pStyle w:val="PlainText"/>
              <w:jc w:val="both"/>
              <w:rPr>
                <w:rFonts w:ascii="Times New Roman" w:eastAsia="MS Mincho" w:hAnsi="Times New Roman" w:cs="Times New Roman"/>
                <w:b/>
                <w:sz w:val="22"/>
                <w:szCs w:val="22"/>
                <w:lang w:val="ro-RO"/>
              </w:rPr>
            </w:pPr>
            <w:r w:rsidRPr="00A24080">
              <w:rPr>
                <w:rFonts w:ascii="Times New Roman" w:eastAsia="MS Mincho" w:hAnsi="Times New Roman" w:cs="Times New Roman"/>
                <w:b/>
                <w:sz w:val="22"/>
                <w:szCs w:val="22"/>
                <w:lang w:val="ro-RO"/>
              </w:rPr>
              <w:t>7</w:t>
            </w:r>
          </w:p>
        </w:tc>
        <w:tc>
          <w:tcPr>
            <w:tcW w:w="1418" w:type="dxa"/>
          </w:tcPr>
          <w:p w14:paraId="30142A4B" w14:textId="77777777" w:rsidR="00707016" w:rsidRPr="00A24080" w:rsidRDefault="00707016" w:rsidP="0028208B">
            <w:pPr>
              <w:jc w:val="both"/>
              <w:rPr>
                <w:b/>
                <w:sz w:val="22"/>
                <w:szCs w:val="22"/>
                <w:lang w:val="ro-RO"/>
              </w:rPr>
            </w:pPr>
            <w:r w:rsidRPr="00A24080">
              <w:rPr>
                <w:b/>
                <w:sz w:val="22"/>
                <w:szCs w:val="22"/>
                <w:lang w:val="ro-RO"/>
              </w:rPr>
              <w:t>8</w:t>
            </w:r>
          </w:p>
        </w:tc>
        <w:tc>
          <w:tcPr>
            <w:tcW w:w="3544" w:type="dxa"/>
            <w:tcBorders>
              <w:bottom w:val="single" w:sz="4" w:space="0" w:color="auto"/>
            </w:tcBorders>
          </w:tcPr>
          <w:p w14:paraId="10A75DBC" w14:textId="77777777" w:rsidR="00707016" w:rsidRPr="00A24080" w:rsidRDefault="00707016" w:rsidP="0028208B">
            <w:pPr>
              <w:jc w:val="both"/>
              <w:rPr>
                <w:b/>
                <w:sz w:val="22"/>
                <w:szCs w:val="22"/>
                <w:lang w:val="ro-RO"/>
              </w:rPr>
            </w:pPr>
            <w:r w:rsidRPr="00A24080">
              <w:rPr>
                <w:b/>
                <w:sz w:val="22"/>
                <w:szCs w:val="22"/>
                <w:lang w:val="ro-RO"/>
              </w:rPr>
              <w:t>9</w:t>
            </w:r>
          </w:p>
        </w:tc>
      </w:tr>
      <w:tr w:rsidR="004722C8" w:rsidRPr="00EE7DB0" w14:paraId="20D0A358" w14:textId="77777777" w:rsidTr="0028208B">
        <w:trPr>
          <w:tblHeader/>
        </w:trPr>
        <w:tc>
          <w:tcPr>
            <w:tcW w:w="5143" w:type="dxa"/>
          </w:tcPr>
          <w:p w14:paraId="169093B5" w14:textId="22ABA7E6" w:rsidR="004722C8" w:rsidRPr="00A24080" w:rsidRDefault="004722C8" w:rsidP="0028208B">
            <w:pPr>
              <w:pStyle w:val="BodyTextIndent"/>
              <w:spacing w:before="0"/>
              <w:ind w:right="90" w:firstLine="0"/>
              <w:rPr>
                <w:rFonts w:eastAsia="MS Mincho"/>
                <w:b/>
                <w:sz w:val="22"/>
                <w:szCs w:val="22"/>
                <w:lang w:val="ro-RO"/>
              </w:rPr>
            </w:pPr>
            <w:r w:rsidRPr="00A24080">
              <w:rPr>
                <w:rFonts w:eastAsia="MS Mincho"/>
                <w:b/>
                <w:sz w:val="22"/>
                <w:szCs w:val="22"/>
                <w:lang w:val="ro-RO"/>
              </w:rPr>
              <w:t>Articolul 5 Raportarea pe bază individuală cu privire la fondurile proprii și la cerințele de fonduri proprii – raportare trimestrială</w:t>
            </w:r>
          </w:p>
        </w:tc>
        <w:tc>
          <w:tcPr>
            <w:tcW w:w="5103" w:type="dxa"/>
          </w:tcPr>
          <w:p w14:paraId="78D2A917" w14:textId="0D82E2E4" w:rsidR="000B370F" w:rsidRPr="00A24080" w:rsidRDefault="00E311FD" w:rsidP="0028208B">
            <w:pPr>
              <w:pStyle w:val="PlainText"/>
              <w:jc w:val="both"/>
              <w:rPr>
                <w:rFonts w:ascii="Times New Roman" w:eastAsia="MS Mincho" w:hAnsi="Times New Roman" w:cs="Times New Roman"/>
                <w:b/>
                <w:sz w:val="22"/>
                <w:szCs w:val="22"/>
                <w:lang w:val="ro-RO"/>
              </w:rPr>
            </w:pPr>
            <w:r w:rsidRPr="00A24080">
              <w:rPr>
                <w:rFonts w:ascii="Times New Roman" w:eastAsia="MS Mincho" w:hAnsi="Times New Roman" w:cs="Times New Roman"/>
                <w:b/>
                <w:sz w:val="22"/>
                <w:szCs w:val="22"/>
                <w:lang w:val="ro-RO"/>
              </w:rPr>
              <w:t>Secțiunea</w:t>
            </w:r>
            <w:r w:rsidR="000B370F" w:rsidRPr="00A24080">
              <w:rPr>
                <w:rFonts w:ascii="Times New Roman" w:eastAsia="MS Mincho" w:hAnsi="Times New Roman" w:cs="Times New Roman"/>
                <w:b/>
                <w:sz w:val="22"/>
                <w:szCs w:val="22"/>
                <w:lang w:val="ro-RO"/>
              </w:rPr>
              <w:t xml:space="preserve"> 3</w:t>
            </w:r>
          </w:p>
          <w:p w14:paraId="437F44CB" w14:textId="0C667840" w:rsidR="004722C8" w:rsidRPr="00A24080" w:rsidRDefault="000B370F" w:rsidP="0028208B">
            <w:pPr>
              <w:pStyle w:val="PlainText"/>
              <w:jc w:val="both"/>
              <w:rPr>
                <w:rFonts w:ascii="Times New Roman" w:eastAsia="MS Mincho" w:hAnsi="Times New Roman" w:cs="Times New Roman"/>
                <w:b/>
                <w:sz w:val="22"/>
                <w:szCs w:val="22"/>
                <w:lang w:val="ro-RO"/>
              </w:rPr>
            </w:pPr>
            <w:r w:rsidRPr="00A24080">
              <w:rPr>
                <w:rFonts w:ascii="Times New Roman" w:eastAsia="MS Mincho" w:hAnsi="Times New Roman" w:cs="Times New Roman"/>
                <w:b/>
                <w:sz w:val="22"/>
                <w:szCs w:val="22"/>
                <w:lang w:val="ro-RO"/>
              </w:rPr>
              <w:t>Formatul şi frecvenţa raportării cu privire la fondurile</w:t>
            </w:r>
            <w:r w:rsidR="00337C74" w:rsidRPr="00A24080">
              <w:rPr>
                <w:rFonts w:ascii="Times New Roman" w:eastAsia="MS Mincho" w:hAnsi="Times New Roman" w:cs="Times New Roman"/>
                <w:b/>
                <w:sz w:val="22"/>
                <w:szCs w:val="22"/>
                <w:lang w:val="ro-RO"/>
              </w:rPr>
              <w:t xml:space="preserve"> </w:t>
            </w:r>
            <w:r w:rsidRPr="00A24080">
              <w:rPr>
                <w:rFonts w:ascii="Times New Roman" w:eastAsia="MS Mincho" w:hAnsi="Times New Roman" w:cs="Times New Roman"/>
                <w:b/>
                <w:sz w:val="22"/>
                <w:szCs w:val="22"/>
                <w:lang w:val="ro-RO"/>
              </w:rPr>
              <w:t>proprii şi la cerinţele de fonduri proprii</w:t>
            </w:r>
          </w:p>
        </w:tc>
        <w:tc>
          <w:tcPr>
            <w:tcW w:w="1418" w:type="dxa"/>
          </w:tcPr>
          <w:p w14:paraId="047F08E0" w14:textId="77777777" w:rsidR="004722C8" w:rsidRPr="00A24080" w:rsidRDefault="004722C8" w:rsidP="0028208B">
            <w:pPr>
              <w:jc w:val="both"/>
              <w:rPr>
                <w:b/>
                <w:sz w:val="22"/>
                <w:szCs w:val="22"/>
                <w:lang w:val="ro-RO"/>
              </w:rPr>
            </w:pPr>
          </w:p>
        </w:tc>
        <w:tc>
          <w:tcPr>
            <w:tcW w:w="3544" w:type="dxa"/>
            <w:tcBorders>
              <w:bottom w:val="single" w:sz="4" w:space="0" w:color="auto"/>
            </w:tcBorders>
          </w:tcPr>
          <w:p w14:paraId="188426C9" w14:textId="77777777" w:rsidR="004722C8" w:rsidRPr="00A24080" w:rsidRDefault="004722C8" w:rsidP="0028208B">
            <w:pPr>
              <w:jc w:val="both"/>
              <w:rPr>
                <w:b/>
                <w:sz w:val="22"/>
                <w:szCs w:val="22"/>
                <w:lang w:val="ro-RO"/>
              </w:rPr>
            </w:pPr>
          </w:p>
        </w:tc>
      </w:tr>
      <w:tr w:rsidR="004722C8" w:rsidRPr="00A24080" w14:paraId="376A502B" w14:textId="77777777" w:rsidTr="0028208B">
        <w:trPr>
          <w:tblHeader/>
        </w:trPr>
        <w:tc>
          <w:tcPr>
            <w:tcW w:w="5143" w:type="dxa"/>
          </w:tcPr>
          <w:p w14:paraId="5FB321D3" w14:textId="22CA38E0" w:rsidR="004722C8" w:rsidRPr="00A24080" w:rsidRDefault="004722C8" w:rsidP="0028208B">
            <w:pPr>
              <w:pStyle w:val="BodyTextIndent"/>
              <w:spacing w:before="0"/>
              <w:ind w:right="90" w:firstLine="0"/>
              <w:rPr>
                <w:rFonts w:eastAsia="MS Mincho"/>
                <w:bCs/>
                <w:sz w:val="22"/>
                <w:szCs w:val="22"/>
                <w:lang w:val="ro-RO"/>
              </w:rPr>
            </w:pPr>
            <w:r w:rsidRPr="00A24080">
              <w:rPr>
                <w:rFonts w:eastAsia="MS Mincho"/>
                <w:bCs/>
                <w:sz w:val="22"/>
                <w:szCs w:val="22"/>
                <w:lang w:val="ro-RO"/>
              </w:rPr>
              <w:t>(1) Instituțiile care raportează pe bază individuală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la prezentul regulament, cu o frecvență trimestrială.</w:t>
            </w:r>
          </w:p>
        </w:tc>
        <w:tc>
          <w:tcPr>
            <w:tcW w:w="5103" w:type="dxa"/>
          </w:tcPr>
          <w:p w14:paraId="586BF683" w14:textId="77777777" w:rsidR="003B2F27" w:rsidRPr="00A24080" w:rsidRDefault="003B2F27" w:rsidP="0028208B">
            <w:pPr>
              <w:pStyle w:val="PlainText"/>
              <w:jc w:val="both"/>
              <w:rPr>
                <w:rFonts w:ascii="Times New Roman" w:eastAsia="MS Mincho" w:hAnsi="Times New Roman" w:cs="Times New Roman"/>
                <w:bCs/>
                <w:sz w:val="22"/>
                <w:szCs w:val="22"/>
                <w:lang w:val="ro-RO"/>
              </w:rPr>
            </w:pPr>
            <w:r w:rsidRPr="00A24080">
              <w:rPr>
                <w:rFonts w:ascii="Times New Roman" w:eastAsia="MS Mincho" w:hAnsi="Times New Roman" w:cs="Times New Roman"/>
                <w:bCs/>
                <w:sz w:val="22"/>
                <w:szCs w:val="22"/>
                <w:lang w:val="ro-RO"/>
              </w:rPr>
              <w:t>1.2. În capitolul I secțiunea 3 pct.14:</w:t>
            </w:r>
          </w:p>
          <w:p w14:paraId="40DCD921" w14:textId="77777777" w:rsidR="003B2F27" w:rsidRPr="00A24080" w:rsidRDefault="003B2F27" w:rsidP="0028208B">
            <w:pPr>
              <w:pStyle w:val="PlainText"/>
              <w:jc w:val="both"/>
              <w:rPr>
                <w:rFonts w:ascii="Times New Roman" w:eastAsia="MS Mincho" w:hAnsi="Times New Roman" w:cs="Times New Roman"/>
                <w:bCs/>
                <w:sz w:val="22"/>
                <w:szCs w:val="22"/>
                <w:lang w:val="ro-RO"/>
              </w:rPr>
            </w:pPr>
            <w:r w:rsidRPr="00A24080">
              <w:rPr>
                <w:rFonts w:ascii="Times New Roman" w:eastAsia="MS Mincho" w:hAnsi="Times New Roman" w:cs="Times New Roman"/>
                <w:bCs/>
                <w:sz w:val="22"/>
                <w:szCs w:val="22"/>
                <w:lang w:val="ro-RO"/>
              </w:rPr>
              <w:t xml:space="preserve">1.2.1. subpct. 6) va avea următorul cuprins: </w:t>
            </w:r>
          </w:p>
          <w:p w14:paraId="7382A326" w14:textId="2C166BAD" w:rsidR="003B2F27" w:rsidRPr="00A24080" w:rsidRDefault="003B2F27" w:rsidP="0028208B">
            <w:pPr>
              <w:pStyle w:val="PlainText"/>
              <w:jc w:val="both"/>
              <w:rPr>
                <w:rFonts w:ascii="Times New Roman" w:eastAsia="MS Mincho" w:hAnsi="Times New Roman" w:cs="Times New Roman"/>
                <w:bCs/>
                <w:sz w:val="22"/>
                <w:szCs w:val="22"/>
                <w:lang w:val="ro-RO"/>
              </w:rPr>
            </w:pPr>
            <w:r w:rsidRPr="00A24080">
              <w:rPr>
                <w:rFonts w:ascii="Times New Roman" w:eastAsia="MS Mincho" w:hAnsi="Times New Roman" w:cs="Times New Roman"/>
                <w:bCs/>
                <w:sz w:val="22"/>
                <w:szCs w:val="22"/>
                <w:lang w:val="ro-RO"/>
              </w:rPr>
              <w:t>„6) rapoartele privind cerințe de fonduri proprii pentru riscul de piață, astfel cum se specifică în formularele C 18.01, C 19.01, C 20.01, C 21.01, C 22.01, C 23.01 în conformitate cu instrucțiunile aferente completării acestora - cu o frecvență trimestrială (anexa nr.6); ”</w:t>
            </w:r>
          </w:p>
          <w:p w14:paraId="75B9D2AD" w14:textId="77777777" w:rsidR="003B2F27" w:rsidRPr="00A24080" w:rsidRDefault="003B2F27" w:rsidP="0028208B">
            <w:pPr>
              <w:pStyle w:val="PlainText"/>
              <w:jc w:val="both"/>
              <w:rPr>
                <w:rFonts w:ascii="Times New Roman" w:eastAsia="MS Mincho" w:hAnsi="Times New Roman" w:cs="Times New Roman"/>
                <w:bCs/>
                <w:sz w:val="22"/>
                <w:szCs w:val="22"/>
                <w:lang w:val="ro-RO"/>
              </w:rPr>
            </w:pPr>
            <w:r w:rsidRPr="00A24080">
              <w:rPr>
                <w:rFonts w:ascii="Times New Roman" w:eastAsia="MS Mincho" w:hAnsi="Times New Roman" w:cs="Times New Roman"/>
                <w:bCs/>
                <w:sz w:val="22"/>
                <w:szCs w:val="22"/>
                <w:lang w:val="ro-RO"/>
              </w:rPr>
              <w:t>1.2.2. se introduce subpct.6</w:t>
            </w:r>
            <w:r w:rsidRPr="00A24080">
              <w:rPr>
                <w:rFonts w:ascii="Times New Roman" w:eastAsia="MS Mincho" w:hAnsi="Times New Roman" w:cs="Times New Roman"/>
                <w:bCs/>
                <w:sz w:val="22"/>
                <w:szCs w:val="22"/>
                <w:vertAlign w:val="superscript"/>
                <w:lang w:val="ro-RO"/>
              </w:rPr>
              <w:t>1</w:t>
            </w:r>
            <w:r w:rsidRPr="00A24080">
              <w:rPr>
                <w:rFonts w:ascii="Times New Roman" w:eastAsia="MS Mincho" w:hAnsi="Times New Roman" w:cs="Times New Roman"/>
                <w:bCs/>
                <w:sz w:val="22"/>
                <w:szCs w:val="22"/>
                <w:lang w:val="ro-RO"/>
              </w:rPr>
              <w:t>) cu următorul cuprins:</w:t>
            </w:r>
          </w:p>
          <w:p w14:paraId="762572F1" w14:textId="292BC3F5" w:rsidR="003B2F27" w:rsidRPr="00A24080" w:rsidRDefault="003B2F27" w:rsidP="0028208B">
            <w:pPr>
              <w:pStyle w:val="PlainText"/>
              <w:jc w:val="both"/>
              <w:rPr>
                <w:rFonts w:ascii="Times New Roman" w:eastAsia="MS Mincho" w:hAnsi="Times New Roman" w:cs="Times New Roman"/>
                <w:bCs/>
                <w:sz w:val="22"/>
                <w:szCs w:val="22"/>
                <w:lang w:val="ro-RO"/>
              </w:rPr>
            </w:pPr>
            <w:r w:rsidRPr="00A24080">
              <w:rPr>
                <w:rFonts w:ascii="Times New Roman" w:eastAsia="MS Mincho" w:hAnsi="Times New Roman" w:cs="Times New Roman"/>
                <w:bCs/>
                <w:sz w:val="22"/>
                <w:szCs w:val="22"/>
                <w:lang w:val="ro-RO"/>
              </w:rPr>
              <w:t>„6</w:t>
            </w:r>
            <w:r w:rsidRPr="00A24080">
              <w:rPr>
                <w:rFonts w:ascii="Times New Roman" w:eastAsia="MS Mincho" w:hAnsi="Times New Roman" w:cs="Times New Roman"/>
                <w:bCs/>
                <w:sz w:val="22"/>
                <w:szCs w:val="22"/>
                <w:vertAlign w:val="superscript"/>
                <w:lang w:val="ro-RO"/>
              </w:rPr>
              <w:t>1</w:t>
            </w:r>
            <w:r w:rsidRPr="00A24080">
              <w:rPr>
                <w:rFonts w:ascii="Times New Roman" w:eastAsia="MS Mincho" w:hAnsi="Times New Roman" w:cs="Times New Roman"/>
                <w:bCs/>
                <w:sz w:val="22"/>
                <w:szCs w:val="22"/>
                <w:lang w:val="ro-RO"/>
              </w:rPr>
              <w:t>) rapoartele aferente monitorizării portofoliului de tranzacționare, astfel cum se specifică în formularele C 90.00, C 90.05 și C 24.01 în conformitate cu instrucțiunile aferente completării acestora - cu o frecvență trimestrială (anexa nr.</w:t>
            </w:r>
            <w:r w:rsidR="008F7297" w:rsidRPr="00A24080">
              <w:rPr>
                <w:rFonts w:ascii="Times New Roman" w:eastAsia="MS Mincho" w:hAnsi="Times New Roman" w:cs="Times New Roman"/>
                <w:bCs/>
                <w:sz w:val="22"/>
                <w:szCs w:val="22"/>
                <w:lang w:val="ro-RO"/>
              </w:rPr>
              <w:t>6</w:t>
            </w:r>
            <w:r w:rsidR="008F7297" w:rsidRPr="00A24080">
              <w:rPr>
                <w:rFonts w:ascii="Times New Roman" w:eastAsia="MS Mincho" w:hAnsi="Times New Roman" w:cs="Times New Roman"/>
                <w:bCs/>
                <w:sz w:val="22"/>
                <w:szCs w:val="22"/>
                <w:vertAlign w:val="superscript"/>
                <w:lang w:val="ro-RO"/>
              </w:rPr>
              <w:t>1</w:t>
            </w:r>
            <w:r w:rsidRPr="00A24080">
              <w:rPr>
                <w:rFonts w:ascii="Times New Roman" w:eastAsia="MS Mincho" w:hAnsi="Times New Roman" w:cs="Times New Roman"/>
                <w:bCs/>
                <w:sz w:val="22"/>
                <w:szCs w:val="22"/>
                <w:lang w:val="ro-RO"/>
              </w:rPr>
              <w:t>);”</w:t>
            </w:r>
          </w:p>
        </w:tc>
        <w:tc>
          <w:tcPr>
            <w:tcW w:w="1418" w:type="dxa"/>
          </w:tcPr>
          <w:p w14:paraId="15B778D8" w14:textId="5D12CF76" w:rsidR="004722C8" w:rsidRPr="00A24080" w:rsidRDefault="008F7297" w:rsidP="0028208B">
            <w:pPr>
              <w:jc w:val="both"/>
              <w:rPr>
                <w:b/>
                <w:sz w:val="22"/>
                <w:szCs w:val="22"/>
                <w:lang w:val="ro-RO"/>
              </w:rPr>
            </w:pPr>
            <w:r w:rsidRPr="00A24080">
              <w:rPr>
                <w:sz w:val="22"/>
                <w:szCs w:val="22"/>
                <w:lang w:val="ro-RO"/>
              </w:rPr>
              <w:t>compatibil</w:t>
            </w:r>
          </w:p>
        </w:tc>
        <w:tc>
          <w:tcPr>
            <w:tcW w:w="3544" w:type="dxa"/>
            <w:tcBorders>
              <w:bottom w:val="single" w:sz="4" w:space="0" w:color="auto"/>
            </w:tcBorders>
          </w:tcPr>
          <w:p w14:paraId="3AA3C286" w14:textId="77777777" w:rsidR="004722C8" w:rsidRPr="00A24080" w:rsidRDefault="004722C8" w:rsidP="0028208B">
            <w:pPr>
              <w:jc w:val="both"/>
              <w:rPr>
                <w:b/>
                <w:sz w:val="22"/>
                <w:szCs w:val="22"/>
                <w:lang w:val="ro-RO"/>
              </w:rPr>
            </w:pPr>
          </w:p>
        </w:tc>
      </w:tr>
      <w:tr w:rsidR="004722C8" w:rsidRPr="00A24080" w14:paraId="37134A17" w14:textId="77777777" w:rsidTr="0028208B">
        <w:trPr>
          <w:tblHeader/>
        </w:trPr>
        <w:tc>
          <w:tcPr>
            <w:tcW w:w="5143" w:type="dxa"/>
          </w:tcPr>
          <w:p w14:paraId="1AA1F352" w14:textId="44B5EDB2" w:rsidR="004722C8" w:rsidRPr="00A24080" w:rsidRDefault="004722C8" w:rsidP="0028208B">
            <w:pPr>
              <w:pStyle w:val="BodyTextIndent"/>
              <w:spacing w:before="0"/>
              <w:ind w:right="90" w:firstLine="0"/>
              <w:rPr>
                <w:rFonts w:eastAsia="MS Mincho"/>
                <w:bCs/>
                <w:sz w:val="22"/>
                <w:szCs w:val="22"/>
                <w:lang w:val="ro-RO"/>
              </w:rPr>
            </w:pPr>
            <w:r w:rsidRPr="00A24080">
              <w:rPr>
                <w:rFonts w:eastAsia="MS Mincho"/>
                <w:bCs/>
                <w:sz w:val="22"/>
                <w:szCs w:val="22"/>
                <w:lang w:val="ro-RO"/>
              </w:rPr>
              <w:t>(2) Instituțiile transmit informațiile specificate în formularele C09.01 și C 09.02 și în special informațiile privind distribuția geografică a expunerilor pe țări, în cazul în care expunerile inițiale altele decât expunerile interne din toate celelalte țări altele decât țara proprie și din toate clasele de expuneri, astfel cum sunt raportate în conformitate cu formularul C 04.00 rândul 0850, sunt mai mari sau egale cu 10 % din totalul expunerilor inițiale, atât interne, cât și altele decât interne, astfel cum sunt raportate în conformitate cu formularul C 04.00 rândul 0860. Se consideră că expunerile sunt interne în cazul în care este vorba de expuneri față de contrapărțile situate în statul membru în care este stabilită instituția.</w:t>
            </w:r>
          </w:p>
        </w:tc>
        <w:tc>
          <w:tcPr>
            <w:tcW w:w="5103" w:type="dxa"/>
          </w:tcPr>
          <w:p w14:paraId="52005379" w14:textId="522F3148" w:rsidR="004722C8" w:rsidRPr="00A24080" w:rsidRDefault="004722C8" w:rsidP="0028208B">
            <w:pPr>
              <w:pStyle w:val="PlainText"/>
              <w:jc w:val="both"/>
              <w:rPr>
                <w:rFonts w:ascii="Times New Roman" w:eastAsia="MS Mincho" w:hAnsi="Times New Roman" w:cs="Times New Roman"/>
                <w:bCs/>
                <w:sz w:val="22"/>
                <w:szCs w:val="22"/>
                <w:lang w:val="ro-RO"/>
              </w:rPr>
            </w:pPr>
          </w:p>
        </w:tc>
        <w:tc>
          <w:tcPr>
            <w:tcW w:w="1418" w:type="dxa"/>
          </w:tcPr>
          <w:p w14:paraId="718F3C1E" w14:textId="17D738DF" w:rsidR="004722C8" w:rsidRPr="00A24080" w:rsidRDefault="00A24080" w:rsidP="0028208B">
            <w:pPr>
              <w:jc w:val="both"/>
              <w:rPr>
                <w:sz w:val="22"/>
                <w:szCs w:val="22"/>
                <w:lang w:val="ro-RO"/>
              </w:rPr>
            </w:pPr>
            <w:r w:rsidRPr="00A24080">
              <w:rPr>
                <w:sz w:val="22"/>
                <w:szCs w:val="22"/>
                <w:lang w:val="ro-RO"/>
              </w:rPr>
              <w:t>prevederi UE netranspuse</w:t>
            </w:r>
          </w:p>
        </w:tc>
        <w:tc>
          <w:tcPr>
            <w:tcW w:w="3544" w:type="dxa"/>
            <w:tcBorders>
              <w:bottom w:val="single" w:sz="4" w:space="0" w:color="auto"/>
            </w:tcBorders>
          </w:tcPr>
          <w:p w14:paraId="1F025212" w14:textId="77777777" w:rsidR="004722C8" w:rsidRPr="00A24080" w:rsidRDefault="004722C8" w:rsidP="0028208B">
            <w:pPr>
              <w:jc w:val="both"/>
              <w:rPr>
                <w:sz w:val="22"/>
                <w:szCs w:val="22"/>
                <w:lang w:val="ro-RO"/>
              </w:rPr>
            </w:pPr>
          </w:p>
        </w:tc>
      </w:tr>
      <w:tr w:rsidR="004722C8" w:rsidRPr="00A24080" w14:paraId="60282B86" w14:textId="77777777" w:rsidTr="0028208B">
        <w:trPr>
          <w:tblHeader/>
        </w:trPr>
        <w:tc>
          <w:tcPr>
            <w:tcW w:w="5143" w:type="dxa"/>
          </w:tcPr>
          <w:p w14:paraId="4F53145D" w14:textId="0B70E039" w:rsidR="004722C8" w:rsidRPr="00A24080" w:rsidRDefault="004722C8" w:rsidP="0028208B">
            <w:pPr>
              <w:pStyle w:val="BodyTextIndent"/>
              <w:spacing w:before="0"/>
              <w:ind w:right="90" w:firstLine="0"/>
              <w:rPr>
                <w:rFonts w:eastAsia="MS Mincho"/>
                <w:bCs/>
                <w:sz w:val="22"/>
                <w:szCs w:val="22"/>
                <w:lang w:val="ro-RO"/>
              </w:rPr>
            </w:pPr>
            <w:r w:rsidRPr="00A24080">
              <w:rPr>
                <w:rFonts w:eastAsia="MS Mincho"/>
                <w:bCs/>
                <w:sz w:val="22"/>
                <w:szCs w:val="22"/>
                <w:lang w:val="ro-RO"/>
              </w:rPr>
              <w:lastRenderedPageBreak/>
              <w:t>(3) Instituțiile care aplică abordarea de bază în conformitate cu Regulamentul delegat (UE) 2016/101 al Comisiei ( ) și care depășesc pragul menționat la articolul 4 alineatul (1) din regulamentul respectiv raportează informațiile specificate în formularele C 32.03 și C 32.04.</w:t>
            </w:r>
          </w:p>
        </w:tc>
        <w:tc>
          <w:tcPr>
            <w:tcW w:w="5103" w:type="dxa"/>
          </w:tcPr>
          <w:p w14:paraId="41410622" w14:textId="10DEF3ED" w:rsidR="004722C8" w:rsidRPr="00A24080" w:rsidRDefault="004722C8" w:rsidP="0028208B">
            <w:pPr>
              <w:pStyle w:val="PlainText"/>
              <w:jc w:val="both"/>
              <w:rPr>
                <w:rFonts w:ascii="Times New Roman" w:eastAsia="MS Mincho" w:hAnsi="Times New Roman" w:cs="Times New Roman"/>
                <w:bCs/>
                <w:sz w:val="22"/>
                <w:szCs w:val="22"/>
                <w:lang w:val="ro-RO"/>
              </w:rPr>
            </w:pPr>
          </w:p>
        </w:tc>
        <w:tc>
          <w:tcPr>
            <w:tcW w:w="1418" w:type="dxa"/>
          </w:tcPr>
          <w:p w14:paraId="769511BA" w14:textId="0460EBCF" w:rsidR="004722C8" w:rsidRPr="00A24080" w:rsidRDefault="005D717A" w:rsidP="0028208B">
            <w:pPr>
              <w:jc w:val="both"/>
              <w:rPr>
                <w:sz w:val="22"/>
                <w:szCs w:val="22"/>
                <w:lang w:val="ro-RO"/>
              </w:rPr>
            </w:pPr>
            <w:r w:rsidRPr="00A24080">
              <w:rPr>
                <w:sz w:val="22"/>
                <w:szCs w:val="22"/>
                <w:lang w:val="ro-RO"/>
              </w:rPr>
              <w:t>prevederi UE netranspuse</w:t>
            </w:r>
          </w:p>
        </w:tc>
        <w:tc>
          <w:tcPr>
            <w:tcW w:w="3544" w:type="dxa"/>
            <w:tcBorders>
              <w:bottom w:val="single" w:sz="4" w:space="0" w:color="auto"/>
            </w:tcBorders>
          </w:tcPr>
          <w:p w14:paraId="4FD6026F" w14:textId="13AE0350" w:rsidR="004722C8" w:rsidRPr="00A24080" w:rsidRDefault="005D717A" w:rsidP="0028208B">
            <w:pPr>
              <w:jc w:val="both"/>
              <w:rPr>
                <w:sz w:val="22"/>
                <w:szCs w:val="22"/>
                <w:lang w:val="ro-RO"/>
              </w:rPr>
            </w:pPr>
            <w:r w:rsidRPr="00A24080">
              <w:rPr>
                <w:sz w:val="22"/>
                <w:szCs w:val="22"/>
                <w:lang w:val="ro-RO"/>
              </w:rPr>
              <w:t>Prevederile Regulamentul delegat (UE) 2016/101 al Comisiei nu au fost transpuse la etapa actuală.</w:t>
            </w:r>
          </w:p>
        </w:tc>
      </w:tr>
      <w:tr w:rsidR="004722C8" w:rsidRPr="00EE7DB0" w14:paraId="79DFDDAB" w14:textId="77777777" w:rsidTr="0028208B">
        <w:trPr>
          <w:tblHeader/>
        </w:trPr>
        <w:tc>
          <w:tcPr>
            <w:tcW w:w="5143" w:type="dxa"/>
          </w:tcPr>
          <w:p w14:paraId="51FE3437" w14:textId="233DBD1F" w:rsidR="004722C8" w:rsidRPr="00A24080" w:rsidRDefault="004722C8" w:rsidP="0028208B">
            <w:pPr>
              <w:pStyle w:val="BodyTextIndent"/>
              <w:spacing w:before="0"/>
              <w:ind w:right="90" w:firstLine="0"/>
              <w:rPr>
                <w:rFonts w:eastAsia="MS Mincho"/>
                <w:bCs/>
                <w:sz w:val="22"/>
                <w:szCs w:val="22"/>
                <w:lang w:val="ro-RO"/>
              </w:rPr>
            </w:pPr>
            <w:r w:rsidRPr="00A24080">
              <w:rPr>
                <w:rFonts w:eastAsia="MS Mincho"/>
                <w:bCs/>
                <w:sz w:val="22"/>
                <w:szCs w:val="22"/>
                <w:lang w:val="ro-RO"/>
              </w:rPr>
              <w:t>(4) Pentru calcularea cerințelor de fonduri proprii menționate la articolul 92 alineatul (4) litera (b) punctul (i) și litera (c) și la articolul 92 alineatul (5) literele (b) și (c) din Regulamentul (UE) nr. 575/2013, instituțiile transmit, până la 31 decembrie 2025, informațiile privind cerințele de fonduri proprii legate de riscul de piață în conformitate cu articolul 5 alineatul (12) din Regulamentul de punere în aplicare (UE) 2021/451.</w:t>
            </w:r>
          </w:p>
        </w:tc>
        <w:tc>
          <w:tcPr>
            <w:tcW w:w="5103" w:type="dxa"/>
          </w:tcPr>
          <w:p w14:paraId="2025FE5F" w14:textId="4C83F6B9" w:rsidR="004722C8" w:rsidRPr="00A24080" w:rsidRDefault="004722C8" w:rsidP="0028208B">
            <w:pPr>
              <w:pStyle w:val="PlainText"/>
              <w:jc w:val="both"/>
              <w:rPr>
                <w:rFonts w:ascii="Times New Roman" w:eastAsia="MS Mincho" w:hAnsi="Times New Roman" w:cs="Times New Roman"/>
                <w:bCs/>
                <w:sz w:val="22"/>
                <w:szCs w:val="22"/>
                <w:lang w:val="ro-RO"/>
              </w:rPr>
            </w:pPr>
          </w:p>
        </w:tc>
        <w:tc>
          <w:tcPr>
            <w:tcW w:w="1418" w:type="dxa"/>
          </w:tcPr>
          <w:p w14:paraId="6C9C3490" w14:textId="38B1EFEF" w:rsidR="004722C8" w:rsidRPr="00A24080" w:rsidRDefault="00E311FD" w:rsidP="0028208B">
            <w:pPr>
              <w:jc w:val="both"/>
              <w:rPr>
                <w:sz w:val="22"/>
                <w:szCs w:val="22"/>
                <w:lang w:val="ro-RO"/>
              </w:rPr>
            </w:pPr>
            <w:r w:rsidRPr="00A24080">
              <w:rPr>
                <w:sz w:val="22"/>
                <w:szCs w:val="22"/>
                <w:lang w:val="ro-RO"/>
              </w:rPr>
              <w:t>prevederi UE netranspuse</w:t>
            </w:r>
          </w:p>
        </w:tc>
        <w:tc>
          <w:tcPr>
            <w:tcW w:w="3544" w:type="dxa"/>
            <w:tcBorders>
              <w:bottom w:val="single" w:sz="4" w:space="0" w:color="auto"/>
            </w:tcBorders>
          </w:tcPr>
          <w:p w14:paraId="3F995F0A" w14:textId="5FAC9932" w:rsidR="004722C8" w:rsidRPr="00A24080" w:rsidRDefault="00A647C9" w:rsidP="0028208B">
            <w:pPr>
              <w:jc w:val="both"/>
              <w:rPr>
                <w:sz w:val="22"/>
                <w:szCs w:val="22"/>
                <w:lang w:val="ro-RO"/>
              </w:rPr>
            </w:pPr>
            <w:r w:rsidRPr="00A24080">
              <w:rPr>
                <w:bCs/>
                <w:sz w:val="22"/>
                <w:szCs w:val="22"/>
                <w:lang w:val="ro-RO"/>
              </w:rPr>
              <w:t>Prevederile Regulamentului de punere în aplicare (UE) 2021/451 în partea ce se referă la raportarea cerințelor de fonduri proprii legate de riscul de piață nu au fost transpuse în Instrucțiunea nr.117/2018.</w:t>
            </w:r>
          </w:p>
        </w:tc>
      </w:tr>
      <w:tr w:rsidR="00371A35" w:rsidRPr="00EE7DB0" w14:paraId="707361BE" w14:textId="77777777" w:rsidTr="0028208B">
        <w:tc>
          <w:tcPr>
            <w:tcW w:w="5143" w:type="dxa"/>
          </w:tcPr>
          <w:p w14:paraId="1E5B5C7D" w14:textId="77777777" w:rsidR="00E175EA" w:rsidRPr="00A24080" w:rsidRDefault="00E175EA" w:rsidP="0028208B">
            <w:pPr>
              <w:suppressAutoHyphens/>
              <w:spacing w:before="120" w:after="120"/>
              <w:jc w:val="both"/>
              <w:rPr>
                <w:sz w:val="22"/>
                <w:szCs w:val="22"/>
                <w:lang w:val="ro-RO" w:eastAsia="en-US"/>
                <w14:ligatures w14:val="none"/>
              </w:rPr>
            </w:pPr>
            <w:r w:rsidRPr="00A24080">
              <w:rPr>
                <w:sz w:val="22"/>
                <w:szCs w:val="22"/>
                <w:lang w:val="ro-RO" w:eastAsia="en-US"/>
                <w14:ligatures w14:val="none"/>
              </w:rPr>
              <w:t>ANEXA II</w:t>
            </w:r>
          </w:p>
          <w:p w14:paraId="242464E6" w14:textId="6FFF8FF9" w:rsidR="00371A35" w:rsidRPr="00A24080" w:rsidRDefault="00E175EA" w:rsidP="0028208B">
            <w:pPr>
              <w:suppressAutoHyphens/>
              <w:spacing w:before="120" w:after="120"/>
              <w:jc w:val="both"/>
              <w:rPr>
                <w:b/>
                <w:sz w:val="22"/>
                <w:szCs w:val="22"/>
                <w:lang w:val="ro-RO" w:eastAsia="en-US"/>
                <w14:ligatures w14:val="none"/>
              </w:rPr>
            </w:pPr>
            <w:r w:rsidRPr="00A24080">
              <w:rPr>
                <w:b/>
                <w:sz w:val="22"/>
                <w:szCs w:val="22"/>
                <w:lang w:val="ro-RO" w:eastAsia="en-US"/>
                <w14:ligatures w14:val="none"/>
              </w:rPr>
              <w:t>INSTRUCȚIUNI PENTRU RAPORTAREA PRIVIND FONDURILE PROPRII ȘI CERINȚELE DE FONDURI PROPRII</w:t>
            </w:r>
          </w:p>
        </w:tc>
        <w:tc>
          <w:tcPr>
            <w:tcW w:w="5103" w:type="dxa"/>
          </w:tcPr>
          <w:p w14:paraId="233F8EEB" w14:textId="46BE32C0" w:rsidR="00371A35" w:rsidRPr="00A24080" w:rsidRDefault="00371A35" w:rsidP="0028208B">
            <w:pPr>
              <w:autoSpaceDE w:val="0"/>
              <w:autoSpaceDN w:val="0"/>
              <w:adjustRightInd w:val="0"/>
              <w:spacing w:before="60" w:after="60"/>
              <w:jc w:val="center"/>
              <w:rPr>
                <w:color w:val="000000"/>
                <w:sz w:val="22"/>
                <w:szCs w:val="22"/>
                <w:lang w:val="ro-RO"/>
              </w:rPr>
            </w:pPr>
          </w:p>
        </w:tc>
        <w:tc>
          <w:tcPr>
            <w:tcW w:w="1418" w:type="dxa"/>
          </w:tcPr>
          <w:p w14:paraId="585A8C29" w14:textId="77777777" w:rsidR="00371A35" w:rsidRPr="00A24080" w:rsidRDefault="00371A35" w:rsidP="0028208B">
            <w:pPr>
              <w:jc w:val="both"/>
              <w:rPr>
                <w:strike/>
                <w:sz w:val="22"/>
                <w:szCs w:val="22"/>
                <w:lang w:val="ro-RO"/>
              </w:rPr>
            </w:pPr>
          </w:p>
        </w:tc>
        <w:tc>
          <w:tcPr>
            <w:tcW w:w="3544" w:type="dxa"/>
            <w:tcBorders>
              <w:top w:val="single" w:sz="4" w:space="0" w:color="auto"/>
              <w:bottom w:val="single" w:sz="4" w:space="0" w:color="auto"/>
            </w:tcBorders>
          </w:tcPr>
          <w:p w14:paraId="24BFE2FA" w14:textId="77777777" w:rsidR="00371A35" w:rsidRPr="00A24080" w:rsidRDefault="00371A35" w:rsidP="0028208B">
            <w:pPr>
              <w:jc w:val="both"/>
              <w:rPr>
                <w:sz w:val="22"/>
                <w:szCs w:val="22"/>
                <w:lang w:val="ro-RO"/>
              </w:rPr>
            </w:pPr>
          </w:p>
        </w:tc>
      </w:tr>
      <w:tr w:rsidR="00494B45" w:rsidRPr="00A24080" w14:paraId="71845EE0" w14:textId="77777777" w:rsidTr="0028208B">
        <w:tc>
          <w:tcPr>
            <w:tcW w:w="5143" w:type="dxa"/>
          </w:tcPr>
          <w:p w14:paraId="63D1290A" w14:textId="10C9A579" w:rsidR="00494B45" w:rsidRPr="00A24080" w:rsidRDefault="00494B45" w:rsidP="0028208B">
            <w:pPr>
              <w:keepNext/>
              <w:suppressAutoHyphens/>
              <w:spacing w:after="120"/>
              <w:jc w:val="both"/>
              <w:outlineLvl w:val="1"/>
              <w:rPr>
                <w:rFonts w:eastAsia="Arial"/>
                <w:b/>
                <w:sz w:val="22"/>
                <w:szCs w:val="22"/>
                <w:u w:val="single"/>
                <w:lang w:val="ro-RO" w:eastAsia="x-none"/>
                <w14:ligatures w14:val="none"/>
              </w:rPr>
            </w:pPr>
            <w:bookmarkStart w:id="2" w:name="_Toc360188322"/>
            <w:bookmarkStart w:id="3" w:name="_Toc473560870"/>
            <w:bookmarkStart w:id="4" w:name="_Toc151714358"/>
            <w:r w:rsidRPr="00A24080">
              <w:rPr>
                <w:rFonts w:eastAsia="Arial"/>
                <w:b/>
                <w:sz w:val="22"/>
                <w:szCs w:val="22"/>
                <w:u w:val="single"/>
                <w:lang w:val="ro-RO" w:eastAsia="x-none"/>
                <w14:ligatures w14:val="none"/>
              </w:rPr>
              <w:t>PARTEA II: INSTRUCȚIUNI AFERENTE FORMULARELOR</w:t>
            </w:r>
            <w:bookmarkEnd w:id="2"/>
            <w:bookmarkEnd w:id="3"/>
            <w:bookmarkEnd w:id="4"/>
          </w:p>
        </w:tc>
        <w:tc>
          <w:tcPr>
            <w:tcW w:w="5103" w:type="dxa"/>
          </w:tcPr>
          <w:p w14:paraId="69544A59" w14:textId="77777777" w:rsidR="006E757E" w:rsidRPr="00A24080" w:rsidRDefault="006E757E" w:rsidP="0028208B">
            <w:pPr>
              <w:jc w:val="right"/>
              <w:rPr>
                <w:rFonts w:eastAsia="Arial"/>
                <w:sz w:val="22"/>
                <w:szCs w:val="22"/>
                <w:lang w:val="ro-RO" w:eastAsia="x-none"/>
                <w14:ligatures w14:val="none"/>
              </w:rPr>
            </w:pPr>
            <w:r w:rsidRPr="00A24080">
              <w:rPr>
                <w:rFonts w:eastAsia="Arial"/>
                <w:sz w:val="22"/>
                <w:szCs w:val="22"/>
                <w:lang w:val="ro-RO" w:eastAsia="x-none"/>
                <w14:ligatures w14:val="none"/>
              </w:rPr>
              <w:t>Anexa nr.6</w:t>
            </w:r>
          </w:p>
          <w:p w14:paraId="61B5250D" w14:textId="77777777" w:rsidR="006E757E" w:rsidRPr="00A24080" w:rsidRDefault="006E757E" w:rsidP="0028208B">
            <w:pPr>
              <w:jc w:val="right"/>
              <w:rPr>
                <w:rFonts w:eastAsia="Arial"/>
                <w:sz w:val="22"/>
                <w:szCs w:val="22"/>
                <w:lang w:val="ro-RO" w:eastAsia="x-none"/>
                <w14:ligatures w14:val="none"/>
              </w:rPr>
            </w:pPr>
            <w:r w:rsidRPr="00A24080">
              <w:rPr>
                <w:rFonts w:eastAsia="Arial"/>
                <w:sz w:val="22"/>
                <w:szCs w:val="22"/>
                <w:lang w:val="ro-RO" w:eastAsia="x-none"/>
                <w14:ligatures w14:val="none"/>
              </w:rPr>
              <w:t>la Instrucțiunea cu privire la prezentarea</w:t>
            </w:r>
          </w:p>
          <w:p w14:paraId="7D5B5310" w14:textId="77777777" w:rsidR="006E757E" w:rsidRPr="00A24080" w:rsidRDefault="006E757E" w:rsidP="0028208B">
            <w:pPr>
              <w:jc w:val="right"/>
              <w:rPr>
                <w:rFonts w:eastAsia="Arial"/>
                <w:sz w:val="22"/>
                <w:szCs w:val="22"/>
                <w:lang w:val="ro-RO" w:eastAsia="x-none"/>
                <w14:ligatures w14:val="none"/>
              </w:rPr>
            </w:pPr>
            <w:r w:rsidRPr="00A24080">
              <w:rPr>
                <w:rFonts w:eastAsia="Arial"/>
                <w:sz w:val="22"/>
                <w:szCs w:val="22"/>
                <w:lang w:val="ro-RO" w:eastAsia="x-none"/>
                <w14:ligatures w14:val="none"/>
              </w:rPr>
              <w:t>de către bănci a rapoartelor COREP</w:t>
            </w:r>
          </w:p>
          <w:p w14:paraId="338E89DE" w14:textId="77777777" w:rsidR="006E757E" w:rsidRPr="00A24080" w:rsidRDefault="006E757E" w:rsidP="0028208B">
            <w:pPr>
              <w:jc w:val="right"/>
              <w:rPr>
                <w:rFonts w:eastAsia="Arial"/>
                <w:sz w:val="22"/>
                <w:szCs w:val="22"/>
                <w:lang w:val="ro-RO" w:eastAsia="x-none"/>
                <w14:ligatures w14:val="none"/>
              </w:rPr>
            </w:pPr>
            <w:r w:rsidRPr="00A24080">
              <w:rPr>
                <w:rFonts w:eastAsia="Arial"/>
                <w:sz w:val="22"/>
                <w:szCs w:val="22"/>
                <w:lang w:val="ro-RO" w:eastAsia="x-none"/>
                <w14:ligatures w14:val="none"/>
              </w:rPr>
              <w:t>în scopuri de supraveghere</w:t>
            </w:r>
          </w:p>
          <w:p w14:paraId="778A2322" w14:textId="77777777" w:rsidR="006E757E" w:rsidRPr="00A24080" w:rsidRDefault="006E757E" w:rsidP="0028208B">
            <w:pPr>
              <w:jc w:val="both"/>
              <w:rPr>
                <w:rFonts w:eastAsia="Arial"/>
                <w:b/>
                <w:bCs/>
                <w:sz w:val="22"/>
                <w:szCs w:val="22"/>
                <w:u w:val="single"/>
                <w:lang w:val="ro-RO" w:eastAsia="x-none"/>
                <w14:ligatures w14:val="none"/>
              </w:rPr>
            </w:pPr>
          </w:p>
          <w:p w14:paraId="1D406816" w14:textId="7B29395A" w:rsidR="000A7FD3" w:rsidRPr="00A24080" w:rsidRDefault="000A7FD3" w:rsidP="0028208B">
            <w:pPr>
              <w:jc w:val="both"/>
              <w:rPr>
                <w:rFonts w:eastAsia="Arial"/>
                <w:b/>
                <w:bCs/>
                <w:sz w:val="22"/>
                <w:szCs w:val="22"/>
                <w:u w:val="single"/>
                <w:lang w:val="ro-RO" w:eastAsia="x-none"/>
                <w14:ligatures w14:val="none"/>
              </w:rPr>
            </w:pPr>
            <w:r w:rsidRPr="00A24080">
              <w:rPr>
                <w:rFonts w:eastAsia="Arial"/>
                <w:b/>
                <w:sz w:val="22"/>
                <w:szCs w:val="22"/>
                <w:u w:val="single"/>
                <w:lang w:val="ro-RO" w:eastAsia="x-none"/>
                <w14:ligatures w14:val="none"/>
              </w:rPr>
              <w:t xml:space="preserve">Capitolul I. RAPORTAREA CERINȚELOR DE FONDURI PROPRII </w:t>
            </w:r>
          </w:p>
          <w:p w14:paraId="6D896819" w14:textId="673289CA" w:rsidR="000A7FD3" w:rsidRPr="00A24080" w:rsidRDefault="000A7FD3" w:rsidP="0028208B">
            <w:pPr>
              <w:jc w:val="both"/>
              <w:rPr>
                <w:rFonts w:eastAsia="Arial"/>
                <w:b/>
                <w:bCs/>
                <w:i/>
                <w:iCs/>
                <w:sz w:val="22"/>
                <w:szCs w:val="22"/>
                <w:u w:val="single"/>
                <w:lang w:val="ro-RO" w:eastAsia="x-none"/>
                <w14:ligatures w14:val="none"/>
              </w:rPr>
            </w:pPr>
            <w:r w:rsidRPr="00A24080">
              <w:rPr>
                <w:rFonts w:eastAsia="Arial"/>
                <w:b/>
                <w:sz w:val="22"/>
                <w:szCs w:val="22"/>
                <w:u w:val="single"/>
                <w:lang w:val="ro-RO" w:eastAsia="x-none"/>
                <w14:ligatures w14:val="none"/>
              </w:rPr>
              <w:t>PENTRU RISCUL DE PIAȚĂ</w:t>
            </w:r>
          </w:p>
          <w:p w14:paraId="6A203F85" w14:textId="6B7B1E0A" w:rsidR="00494B45" w:rsidRPr="00A24080" w:rsidRDefault="00494B45" w:rsidP="0028208B">
            <w:pPr>
              <w:jc w:val="both"/>
              <w:rPr>
                <w:sz w:val="22"/>
                <w:szCs w:val="22"/>
                <w:lang w:val="ro-MD" w:eastAsia="en-US"/>
                <w14:ligatures w14:val="none"/>
              </w:rPr>
            </w:pPr>
          </w:p>
        </w:tc>
        <w:tc>
          <w:tcPr>
            <w:tcW w:w="1418" w:type="dxa"/>
          </w:tcPr>
          <w:p w14:paraId="7231B7D1" w14:textId="6E950C24" w:rsidR="00494B45" w:rsidRPr="00A24080" w:rsidRDefault="00494B45" w:rsidP="0028208B">
            <w:pPr>
              <w:jc w:val="both"/>
              <w:rPr>
                <w:sz w:val="22"/>
                <w:szCs w:val="22"/>
                <w:lang w:val="ro-RO"/>
              </w:rPr>
            </w:pPr>
          </w:p>
        </w:tc>
        <w:tc>
          <w:tcPr>
            <w:tcW w:w="3544" w:type="dxa"/>
            <w:tcBorders>
              <w:top w:val="single" w:sz="4" w:space="0" w:color="auto"/>
              <w:bottom w:val="single" w:sz="4" w:space="0" w:color="auto"/>
            </w:tcBorders>
          </w:tcPr>
          <w:p w14:paraId="7865B958" w14:textId="48C2A732" w:rsidR="00494B45" w:rsidRPr="00A24080" w:rsidRDefault="00494B45" w:rsidP="0028208B">
            <w:pPr>
              <w:jc w:val="both"/>
              <w:rPr>
                <w:bCs/>
                <w:sz w:val="22"/>
                <w:szCs w:val="22"/>
                <w:lang w:val="ro-RO"/>
              </w:rPr>
            </w:pPr>
          </w:p>
        </w:tc>
      </w:tr>
      <w:tr w:rsidR="00494B45" w:rsidRPr="00A24080" w14:paraId="2589498D" w14:textId="77777777" w:rsidTr="0028208B">
        <w:tc>
          <w:tcPr>
            <w:tcW w:w="5143" w:type="dxa"/>
          </w:tcPr>
          <w:p w14:paraId="2B600077" w14:textId="3162DE60" w:rsidR="00494B45" w:rsidRPr="00A24080" w:rsidRDefault="00494B45" w:rsidP="0028208B">
            <w:pPr>
              <w:keepNext/>
              <w:suppressAutoHyphens/>
              <w:spacing w:after="240"/>
              <w:ind w:left="357" w:hanging="357"/>
              <w:jc w:val="both"/>
              <w:outlineLvl w:val="1"/>
              <w:rPr>
                <w:rFonts w:eastAsia="Arial"/>
                <w:sz w:val="22"/>
                <w:szCs w:val="22"/>
                <w:u w:val="single"/>
                <w:lang w:val="ro-RO" w:eastAsia="x-none"/>
                <w14:ligatures w14:val="none"/>
              </w:rPr>
            </w:pPr>
            <w:bookmarkStart w:id="5" w:name="_Toc295829995"/>
            <w:bookmarkStart w:id="6" w:name="_Toc262566425"/>
            <w:bookmarkStart w:id="7" w:name="_Toc308426671"/>
            <w:bookmarkStart w:id="8" w:name="_Toc310415056"/>
            <w:bookmarkStart w:id="9" w:name="_Toc360188391"/>
            <w:bookmarkStart w:id="10" w:name="_Toc473561031"/>
            <w:bookmarkStart w:id="11" w:name="_Toc151714485"/>
            <w:r w:rsidRPr="00A24080">
              <w:rPr>
                <w:rFonts w:eastAsia="Arial" w:cs="Arial"/>
                <w:sz w:val="22"/>
                <w:szCs w:val="22"/>
                <w:lang w:val="ro-RO" w:eastAsia="x-none"/>
                <w14:ligatures w14:val="none"/>
              </w:rPr>
              <w:t>5.</w:t>
            </w:r>
            <w:r w:rsidRPr="00A24080">
              <w:rPr>
                <w:rFonts w:eastAsia="Arial" w:cs="Arial"/>
                <w:sz w:val="22"/>
                <w:szCs w:val="22"/>
                <w:lang w:val="ro-RO" w:eastAsia="x-none"/>
                <w14:ligatures w14:val="none"/>
              </w:rPr>
              <w:tab/>
            </w:r>
            <w:r w:rsidRPr="00A24080">
              <w:rPr>
                <w:rFonts w:eastAsia="Arial" w:cs="Arial"/>
                <w:sz w:val="22"/>
                <w:szCs w:val="22"/>
                <w:u w:val="single"/>
                <w:lang w:val="ro-RO" w:eastAsia="x-none"/>
                <w14:ligatures w14:val="none"/>
              </w:rPr>
              <w:t>Formulare privind riscul de piață</w:t>
            </w:r>
            <w:bookmarkEnd w:id="5"/>
            <w:bookmarkEnd w:id="6"/>
            <w:bookmarkEnd w:id="7"/>
            <w:bookmarkEnd w:id="8"/>
            <w:bookmarkEnd w:id="9"/>
            <w:bookmarkEnd w:id="10"/>
            <w:bookmarkEnd w:id="11"/>
          </w:p>
        </w:tc>
        <w:tc>
          <w:tcPr>
            <w:tcW w:w="5103" w:type="dxa"/>
          </w:tcPr>
          <w:p w14:paraId="1CFEA435" w14:textId="68110D8A" w:rsidR="00494B45" w:rsidRPr="00A24080" w:rsidRDefault="005F5916" w:rsidP="0028208B">
            <w:pPr>
              <w:ind w:right="90"/>
              <w:jc w:val="both"/>
              <w:rPr>
                <w:sz w:val="22"/>
                <w:szCs w:val="22"/>
                <w:lang w:val="ro-RO"/>
              </w:rPr>
            </w:pPr>
            <w:r w:rsidRPr="00A24080">
              <w:rPr>
                <w:rFonts w:eastAsia="Arial" w:cs="Arial"/>
                <w:b/>
                <w:i/>
                <w:sz w:val="22"/>
                <w:szCs w:val="22"/>
                <w:lang w:val="ro-RO" w:eastAsia="x-none"/>
                <w14:ligatures w14:val="none"/>
              </w:rPr>
              <w:t>Secțiunea</w:t>
            </w:r>
            <w:r w:rsidR="000A7FD3" w:rsidRPr="00A24080">
              <w:rPr>
                <w:rFonts w:eastAsia="Arial" w:cs="Arial"/>
                <w:b/>
                <w:i/>
                <w:sz w:val="22"/>
                <w:szCs w:val="22"/>
                <w:lang w:val="ro-RO" w:eastAsia="x-none"/>
                <w14:ligatures w14:val="none"/>
              </w:rPr>
              <w:t xml:space="preserve"> 1.</w:t>
            </w:r>
            <w:r w:rsidR="00494B45" w:rsidRPr="00A24080">
              <w:rPr>
                <w:rFonts w:eastAsia="Arial" w:cs="Arial"/>
                <w:sz w:val="22"/>
                <w:szCs w:val="22"/>
                <w:lang w:val="ro-RO" w:eastAsia="x-none"/>
                <w14:ligatures w14:val="none"/>
              </w:rPr>
              <w:tab/>
            </w:r>
            <w:bookmarkStart w:id="12" w:name="_Hlk227740280"/>
            <w:r w:rsidR="00494B45" w:rsidRPr="00A24080">
              <w:rPr>
                <w:rFonts w:eastAsia="Arial" w:cs="Arial"/>
                <w:b/>
                <w:i/>
                <w:sz w:val="22"/>
                <w:szCs w:val="22"/>
                <w:lang w:val="ro-RO" w:eastAsia="x-none"/>
                <w14:ligatures w14:val="none"/>
              </w:rPr>
              <w:t>Formulare privind riscul de piață</w:t>
            </w:r>
            <w:bookmarkEnd w:id="12"/>
          </w:p>
        </w:tc>
        <w:tc>
          <w:tcPr>
            <w:tcW w:w="1418" w:type="dxa"/>
          </w:tcPr>
          <w:p w14:paraId="6FEE49F6" w14:textId="0526DA6D" w:rsidR="00494B45" w:rsidRPr="00A24080" w:rsidRDefault="008F7297"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39851DD" w14:textId="77777777" w:rsidR="00494B45" w:rsidRPr="00A24080" w:rsidRDefault="00494B45" w:rsidP="0028208B">
            <w:pPr>
              <w:jc w:val="both"/>
              <w:rPr>
                <w:bCs/>
                <w:sz w:val="22"/>
                <w:szCs w:val="22"/>
                <w:lang w:val="ro-RO"/>
              </w:rPr>
            </w:pPr>
          </w:p>
        </w:tc>
      </w:tr>
      <w:tr w:rsidR="00494B45" w:rsidRPr="00A24080" w14:paraId="5AA9C659" w14:textId="77777777" w:rsidTr="0028208B">
        <w:trPr>
          <w:trHeight w:val="1313"/>
        </w:trPr>
        <w:tc>
          <w:tcPr>
            <w:tcW w:w="5143" w:type="dxa"/>
          </w:tcPr>
          <w:p w14:paraId="4C91E60F" w14:textId="441F20C6" w:rsidR="00494B45" w:rsidRPr="00A24080" w:rsidRDefault="00494B45" w:rsidP="0028208B">
            <w:pPr>
              <w:suppressAutoHyphens/>
              <w:spacing w:after="240"/>
              <w:jc w:val="both"/>
              <w:rPr>
                <w:sz w:val="22"/>
                <w:szCs w:val="22"/>
                <w:lang w:val="ro-RO" w:eastAsia="de-DE"/>
                <w14:ligatures w14:val="none"/>
              </w:rPr>
            </w:pPr>
            <w:r w:rsidRPr="00A24080">
              <w:rPr>
                <w:sz w:val="22"/>
                <w:szCs w:val="22"/>
                <w:lang w:val="ro-RO" w:eastAsia="de-DE"/>
                <w14:ligatures w14:val="none"/>
              </w:rPr>
              <w:lastRenderedPageBreak/>
              <w:fldChar w:fldCharType="begin"/>
            </w:r>
            <w:r w:rsidRPr="00A24080">
              <w:rPr>
                <w:sz w:val="22"/>
                <w:szCs w:val="22"/>
                <w:lang w:val="ro-RO" w:eastAsia="de-DE"/>
                <w14:ligatures w14:val="none"/>
              </w:rPr>
              <w:instrText xml:space="preserve"> seq paragraphs </w:instrText>
            </w:r>
            <w:r w:rsidRPr="00A24080">
              <w:rPr>
                <w:sz w:val="22"/>
                <w:szCs w:val="22"/>
                <w:lang w:val="ro-RO" w:eastAsia="de-DE"/>
                <w14:ligatures w14:val="none"/>
              </w:rPr>
              <w:fldChar w:fldCharType="separate"/>
            </w:r>
            <w:r w:rsidRPr="00A24080">
              <w:rPr>
                <w:sz w:val="22"/>
                <w:szCs w:val="22"/>
                <w:lang w:val="ro-RO" w:eastAsia="de-DE"/>
                <w14:ligatures w14:val="none"/>
              </w:rPr>
              <w:t>158</w:t>
            </w:r>
            <w:r w:rsidRPr="00A24080">
              <w:rPr>
                <w:sz w:val="22"/>
                <w:szCs w:val="22"/>
                <w:lang w:val="ro-RO" w:eastAsia="de-DE"/>
                <w14:ligatures w14:val="none"/>
              </w:rPr>
              <w:fldChar w:fldCharType="end"/>
            </w:r>
            <w:r w:rsidRPr="00A24080">
              <w:rPr>
                <w:sz w:val="22"/>
                <w:szCs w:val="22"/>
                <w:lang w:val="ro-RO" w:eastAsia="de-DE"/>
                <w14:ligatures w14:val="none"/>
              </w:rPr>
              <w:t>.</w:t>
            </w:r>
            <w:r w:rsidR="004D4DFC" w:rsidRPr="00A24080">
              <w:rPr>
                <w:sz w:val="22"/>
                <w:szCs w:val="22"/>
                <w:lang w:val="ro-RO" w:eastAsia="de-DE"/>
                <w14:ligatures w14:val="none"/>
              </w:rPr>
              <w:t xml:space="preserve"> </w:t>
            </w:r>
            <w:r w:rsidRPr="00A24080">
              <w:rPr>
                <w:sz w:val="22"/>
                <w:szCs w:val="22"/>
                <w:lang w:val="ro-RO" w:eastAsia="de-DE"/>
                <w14:ligatures w14:val="none"/>
              </w:rPr>
              <w:t xml:space="preserve">Aceste instrucțiuni se referă la formularele prin care se raportează calcularea cerințelor de fonduri proprii în conformitate cu abordarea standardizată pentru riscul valutar (MKR SSA FX), riscul de marfă (MKR SSA COM), riscul de rată a dobânzii (MKR SSA TDI, MKR SSA SEC, MKR SSA CTP) și riscul de devalorizare a acțiunilor (MKR SSA EQU). În plus, în această parte sunt incluse și instrucțiuni pentru formularul de raportare a calculării cerințelor de fonduri proprii în conformitate cu abordarea bazată pe modele interne (MKR IM). </w:t>
            </w:r>
          </w:p>
        </w:tc>
        <w:tc>
          <w:tcPr>
            <w:tcW w:w="5103" w:type="dxa"/>
          </w:tcPr>
          <w:p w14:paraId="1433AF89" w14:textId="7E76AC35" w:rsidR="00494B45" w:rsidRPr="00A24080" w:rsidRDefault="000A7FD3" w:rsidP="0028208B">
            <w:pPr>
              <w:ind w:right="90"/>
              <w:jc w:val="both"/>
              <w:rPr>
                <w:sz w:val="22"/>
                <w:szCs w:val="22"/>
                <w:lang w:val="ro-RO"/>
              </w:rPr>
            </w:pPr>
            <w:r w:rsidRPr="00A24080">
              <w:rPr>
                <w:sz w:val="22"/>
                <w:szCs w:val="22"/>
                <w:lang w:val="ro-RO" w:eastAsia="de-DE"/>
                <w14:ligatures w14:val="none"/>
              </w:rPr>
              <w:t>1</w:t>
            </w:r>
            <w:r w:rsidR="00494B45" w:rsidRPr="00A24080">
              <w:rPr>
                <w:sz w:val="22"/>
                <w:szCs w:val="22"/>
                <w:lang w:val="ro-RO" w:eastAsia="de-DE"/>
                <w14:ligatures w14:val="none"/>
              </w:rPr>
              <w:t>.</w:t>
            </w:r>
            <w:r w:rsidR="004D4DFC" w:rsidRPr="00A24080">
              <w:rPr>
                <w:sz w:val="22"/>
                <w:szCs w:val="22"/>
                <w:lang w:val="ro-RO" w:eastAsia="de-DE"/>
                <w14:ligatures w14:val="none"/>
              </w:rPr>
              <w:t xml:space="preserve"> </w:t>
            </w:r>
            <w:bookmarkStart w:id="13" w:name="_Hlk227740865"/>
            <w:r w:rsidR="00494B45" w:rsidRPr="00A24080">
              <w:rPr>
                <w:sz w:val="22"/>
                <w:szCs w:val="22"/>
                <w:lang w:val="ro-RO" w:eastAsia="de-DE"/>
                <w14:ligatures w14:val="none"/>
              </w:rPr>
              <w:t xml:space="preserve">Aceste instrucțiuni se referă la formularele prin care se raportează calcularea cerințelor de fonduri proprii în conformitate cu abordarea standardizată pentru riscul valutar (MKR SSA FX), riscul de marfă (MKR SSA COM), riscul de rată a dobânzii (MKR SSA TDI, MKR SSA SEC, MKR SSA CTP) și riscul de devalorizare a acțiunilor (MKR SSA EQU). În plus, în această parte sunt incluse și instrucțiuni pentru formularul de raportare a calculării cerințelor de fonduri proprii în conformitate cu abordarea bazată pe modele interne (MKR IM). </w:t>
            </w:r>
            <w:bookmarkEnd w:id="13"/>
          </w:p>
        </w:tc>
        <w:tc>
          <w:tcPr>
            <w:tcW w:w="1418" w:type="dxa"/>
          </w:tcPr>
          <w:p w14:paraId="1DE1C555" w14:textId="738A2694" w:rsidR="00494B45" w:rsidRPr="00A24080" w:rsidRDefault="00C439C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95C07F2" w14:textId="77777777" w:rsidR="00494B45" w:rsidRPr="00A24080" w:rsidRDefault="00494B45" w:rsidP="0028208B">
            <w:pPr>
              <w:jc w:val="both"/>
              <w:rPr>
                <w:bCs/>
                <w:sz w:val="22"/>
                <w:szCs w:val="22"/>
                <w:lang w:val="ro-RO"/>
              </w:rPr>
            </w:pPr>
          </w:p>
        </w:tc>
      </w:tr>
      <w:tr w:rsidR="000820CC" w:rsidRPr="00A24080" w14:paraId="7E119E4B" w14:textId="77777777" w:rsidTr="0028208B">
        <w:trPr>
          <w:trHeight w:val="604"/>
        </w:trPr>
        <w:tc>
          <w:tcPr>
            <w:tcW w:w="5143" w:type="dxa"/>
          </w:tcPr>
          <w:p w14:paraId="5B93D676" w14:textId="0080692F" w:rsidR="000820CC" w:rsidRPr="00A24080" w:rsidRDefault="00E175EA" w:rsidP="0028208B">
            <w:pPr>
              <w:suppressAutoHyphens/>
              <w:spacing w:after="240"/>
              <w:jc w:val="both"/>
              <w:rPr>
                <w:sz w:val="22"/>
                <w:szCs w:val="22"/>
                <w:lang w:val="ro-RO" w:eastAsia="de-DE"/>
                <w14:ligatures w14:val="none"/>
              </w:rPr>
            </w:pPr>
            <w:r w:rsidRPr="00A24080">
              <w:rPr>
                <w:sz w:val="22"/>
                <w:szCs w:val="22"/>
                <w:lang w:val="ro-RO" w:eastAsia="de-DE"/>
                <w14:ligatures w14:val="none"/>
              </w:rPr>
              <w:fldChar w:fldCharType="begin"/>
            </w:r>
            <w:r w:rsidRPr="00A24080">
              <w:rPr>
                <w:sz w:val="22"/>
                <w:szCs w:val="22"/>
                <w:lang w:val="ro-RO" w:eastAsia="de-DE"/>
                <w14:ligatures w14:val="none"/>
              </w:rPr>
              <w:instrText>seq paragraphs</w:instrText>
            </w:r>
            <w:r w:rsidRPr="00A24080">
              <w:rPr>
                <w:sz w:val="22"/>
                <w:szCs w:val="22"/>
                <w:lang w:val="ro-RO" w:eastAsia="de-DE"/>
                <w14:ligatures w14:val="none"/>
              </w:rPr>
              <w:fldChar w:fldCharType="separate"/>
            </w:r>
            <w:r w:rsidRPr="00A24080">
              <w:rPr>
                <w:sz w:val="22"/>
                <w:szCs w:val="22"/>
                <w:lang w:val="ro-RO" w:eastAsia="de-DE"/>
                <w14:ligatures w14:val="none"/>
              </w:rPr>
              <w:t>159</w:t>
            </w:r>
            <w:r w:rsidRPr="00A24080">
              <w:rPr>
                <w:sz w:val="22"/>
                <w:szCs w:val="22"/>
                <w:lang w:val="ro-RO" w:eastAsia="de-DE"/>
                <w14:ligatures w14:val="none"/>
              </w:rPr>
              <w:fldChar w:fldCharType="end"/>
            </w:r>
            <w:r w:rsidRPr="00A24080">
              <w:rPr>
                <w:sz w:val="22"/>
                <w:szCs w:val="22"/>
                <w:lang w:val="ro-RO" w:eastAsia="de-DE"/>
                <w14:ligatures w14:val="none"/>
              </w:rPr>
              <w:t>.</w:t>
            </w:r>
            <w:r w:rsidRPr="00A24080">
              <w:rPr>
                <w:sz w:val="22"/>
                <w:szCs w:val="22"/>
                <w:lang w:val="ro-RO" w:eastAsia="de-DE"/>
                <w14:ligatures w14:val="none"/>
              </w:rPr>
              <w:tab/>
              <w:t xml:space="preserve"> Riscul de poziție pe un instrument de datorie sau titlu de capital tranzacționat (sau pe un instrument derivat pe un instrument de datorie sau titlu de capital) se divide în două componente pentru a calcula capitalul impus în legătură cu acest risc. Prima componentă este componenta de risc specific – respectiv riscul de modificare a prețului instrumentului în cauză ca urmare a unor factori legați de emitentul acestuia sau, în cazul unui instrument financiar derivat, de emitentul instrumentului-suport. A doua componentă acoperă riscul general – respectiv riscul de modificare a prețului instrumentului ca urmare a unei modificări a ratelor dobânzii (în cazul unui instrument de datorie sau al unui instrument financiar derivat pe un instrument de datorie tranzacționat) sau ca urmare a unei variații generale a pieței titlurilor de capital care nu este legată de niciun atribut specific al titlurilor individuale (în cazul unui titlu de capital sau al unui instrument financiar derivat pe un titlu de capital). Tratamentul general aplicat instrumentelor specifice și procedurilor de compensare poate fi găsit la articolele 326-333 din Regulamentul (UE) nr. 575/2013. </w:t>
            </w:r>
          </w:p>
        </w:tc>
        <w:tc>
          <w:tcPr>
            <w:tcW w:w="5103" w:type="dxa"/>
          </w:tcPr>
          <w:p w14:paraId="519755EA" w14:textId="29B9587A" w:rsidR="000820CC" w:rsidRPr="00A24080" w:rsidRDefault="00A2637F" w:rsidP="0028208B">
            <w:pPr>
              <w:ind w:right="90"/>
              <w:jc w:val="both"/>
              <w:rPr>
                <w:sz w:val="22"/>
                <w:szCs w:val="22"/>
                <w:lang w:val="ro-RO"/>
              </w:rPr>
            </w:pPr>
            <w:bookmarkStart w:id="14" w:name="_Hlk227763537"/>
            <w:r w:rsidRPr="00A24080">
              <w:rPr>
                <w:sz w:val="22"/>
                <w:szCs w:val="22"/>
                <w:lang w:val="ro-RO" w:eastAsia="de-DE"/>
                <w14:ligatures w14:val="none"/>
              </w:rPr>
              <w:t>2</w:t>
            </w:r>
            <w:r w:rsidR="00494B45" w:rsidRPr="00A24080">
              <w:rPr>
                <w:sz w:val="22"/>
                <w:szCs w:val="22"/>
                <w:lang w:val="ro-RO" w:eastAsia="de-DE"/>
                <w14:ligatures w14:val="none"/>
              </w:rPr>
              <w:t>.</w:t>
            </w:r>
            <w:r w:rsidR="00494B45" w:rsidRPr="00A24080">
              <w:rPr>
                <w:sz w:val="22"/>
                <w:szCs w:val="22"/>
                <w:lang w:val="ro-RO" w:eastAsia="de-DE"/>
                <w14:ligatures w14:val="none"/>
              </w:rPr>
              <w:tab/>
              <w:t xml:space="preserve"> Riscul de poziție pe un instrument de datorie sau titlu de capital tranzacționat (sau pe un instrument derivat pe un instrument de datorie sau titlu de capital) se divide în două componente pentru a calcula capitalul impus în legătură cu acest risc. Prima componentă este componenta de risc specific – respectiv riscul de modificare a prețului instrumentului în cauză ca urmare a unor factori legați de emitentul acestuia sau, în cazul unui instrument financiar derivat, de emitentul instrumentului-suport. A doua componentă acoperă riscul general – respectiv riscul de modificare a prețului instrumentului ca urmare a unei modificări a ratelor dobânzii (în cazul unui instrument de datorie sau al unui instrument financiar derivat pe un instrument de datorie tranzacționat) sau ca urmare a unei variații generale a pieței titlurilor de capital care nu este legată de niciun atribut specific al titlurilor individuale (în cazul unui titlu de capital sau al unui instrument financiar derivat pe un titlu de capital). Tratamentul general aplicat instrumentelor specifice și procedurilor de compensare poate fi găsit la </w:t>
            </w:r>
            <w:r w:rsidRPr="00A24080">
              <w:rPr>
                <w:sz w:val="22"/>
                <w:szCs w:val="22"/>
                <w:lang w:val="ro-RO" w:eastAsia="de-DE"/>
                <w14:ligatures w14:val="none"/>
              </w:rPr>
              <w:t xml:space="preserve">titlul II, capitolul IV, secțiunea 1 din Regulamentul privind cerinţele de fonduri proprii pentru riscul de piață, </w:t>
            </w:r>
            <w:r w:rsidRPr="00A24080">
              <w:rPr>
                <w:sz w:val="22"/>
                <w:szCs w:val="22"/>
                <w:lang w:val="ro-RO" w:eastAsia="de-DE"/>
                <w14:ligatures w14:val="none"/>
              </w:rPr>
              <w:lastRenderedPageBreak/>
              <w:t>aprobat prin Hotărârea Comitetului executiv al Băncii Naționale a Moldovei nr.XX/2026 (în continuare – Regulamentul nr.XX/2026)</w:t>
            </w:r>
            <w:r w:rsidR="00494B45" w:rsidRPr="00A24080">
              <w:rPr>
                <w:sz w:val="22"/>
                <w:szCs w:val="22"/>
                <w:lang w:val="ro-RO" w:eastAsia="de-DE"/>
                <w14:ligatures w14:val="none"/>
              </w:rPr>
              <w:t>.</w:t>
            </w:r>
            <w:bookmarkEnd w:id="14"/>
          </w:p>
        </w:tc>
        <w:tc>
          <w:tcPr>
            <w:tcW w:w="1418" w:type="dxa"/>
          </w:tcPr>
          <w:p w14:paraId="35C7E52C" w14:textId="264781AD" w:rsidR="000820CC" w:rsidRPr="00A24080" w:rsidRDefault="008C1FF6"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50AFA9CB" w14:textId="77777777" w:rsidR="000820CC" w:rsidRPr="00A24080" w:rsidRDefault="000820CC" w:rsidP="0028208B">
            <w:pPr>
              <w:jc w:val="both"/>
              <w:rPr>
                <w:bCs/>
                <w:sz w:val="22"/>
                <w:szCs w:val="22"/>
                <w:lang w:val="ro-RO"/>
              </w:rPr>
            </w:pPr>
          </w:p>
        </w:tc>
      </w:tr>
      <w:tr w:rsidR="004D4DFC" w:rsidRPr="00A24080" w14:paraId="19AF3218" w14:textId="77777777" w:rsidTr="0028208B">
        <w:tc>
          <w:tcPr>
            <w:tcW w:w="5143" w:type="dxa"/>
          </w:tcPr>
          <w:p w14:paraId="3A0C8D5D" w14:textId="271B86BE" w:rsidR="004D4DFC" w:rsidRPr="00A24080" w:rsidRDefault="004D4DFC" w:rsidP="0028208B">
            <w:pPr>
              <w:ind w:right="90"/>
              <w:jc w:val="both"/>
              <w:rPr>
                <w:sz w:val="22"/>
                <w:szCs w:val="22"/>
                <w:lang w:val="ro-RO"/>
              </w:rPr>
            </w:pPr>
            <w:r w:rsidRPr="00A24080">
              <w:rPr>
                <w:sz w:val="22"/>
                <w:szCs w:val="22"/>
                <w:lang w:val="ro-RO"/>
              </w:rPr>
              <w:t>5.1. C 18.01 – Riscul de piață: abordarea standardizată simplificată pentru riscurile de poziție aferente instrumentelor de datorie tranzacționate (MKR SSA TDI)</w:t>
            </w:r>
          </w:p>
        </w:tc>
        <w:tc>
          <w:tcPr>
            <w:tcW w:w="5103" w:type="dxa"/>
          </w:tcPr>
          <w:p w14:paraId="0E97FA3C" w14:textId="0A8D7801" w:rsidR="004D4DFC" w:rsidRPr="00A24080" w:rsidRDefault="00A2637F" w:rsidP="0028208B">
            <w:pPr>
              <w:ind w:right="90"/>
              <w:jc w:val="both"/>
              <w:rPr>
                <w:sz w:val="22"/>
                <w:szCs w:val="22"/>
                <w:lang w:val="ro-RO"/>
              </w:rPr>
            </w:pPr>
            <w:r w:rsidRPr="00A24080">
              <w:rPr>
                <w:b/>
                <w:i/>
                <w:sz w:val="22"/>
                <w:szCs w:val="22"/>
                <w:lang w:val="ro-RO"/>
              </w:rPr>
              <w:t>Secţiunea 2.</w:t>
            </w:r>
            <w:r w:rsidR="004D4DFC" w:rsidRPr="00A24080">
              <w:rPr>
                <w:sz w:val="22"/>
                <w:szCs w:val="22"/>
                <w:lang w:val="ro-RO"/>
              </w:rPr>
              <w:t xml:space="preserve"> </w:t>
            </w:r>
            <w:bookmarkStart w:id="15" w:name="_Hlk227763693"/>
            <w:r w:rsidR="004D4DFC" w:rsidRPr="00A24080">
              <w:rPr>
                <w:sz w:val="22"/>
                <w:szCs w:val="22"/>
                <w:lang w:val="ro-RO"/>
              </w:rPr>
              <w:t>C 18.01 – Riscul de piață: abordarea standardizată simplificată pentru riscurile de poziție aferente instrumentelor de datorie tranzacționate (MKR SSA TDI)</w:t>
            </w:r>
            <w:bookmarkEnd w:id="15"/>
          </w:p>
        </w:tc>
        <w:tc>
          <w:tcPr>
            <w:tcW w:w="1418" w:type="dxa"/>
          </w:tcPr>
          <w:p w14:paraId="77679447" w14:textId="22351851" w:rsidR="004D4DFC" w:rsidRPr="00A24080" w:rsidRDefault="0007353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BB068BE" w14:textId="77777777" w:rsidR="004D4DFC" w:rsidRPr="00A24080" w:rsidRDefault="004D4DFC" w:rsidP="0028208B">
            <w:pPr>
              <w:jc w:val="both"/>
              <w:rPr>
                <w:bCs/>
                <w:sz w:val="22"/>
                <w:szCs w:val="22"/>
                <w:lang w:val="ro-RO"/>
              </w:rPr>
            </w:pPr>
          </w:p>
        </w:tc>
      </w:tr>
      <w:tr w:rsidR="004D4DFC" w:rsidRPr="00A24080" w14:paraId="1A0F061F" w14:textId="77777777" w:rsidTr="0028208B">
        <w:tc>
          <w:tcPr>
            <w:tcW w:w="5143" w:type="dxa"/>
          </w:tcPr>
          <w:p w14:paraId="35838E7E" w14:textId="1D48C84A" w:rsidR="004D4DFC" w:rsidRPr="00A24080" w:rsidRDefault="004D4DFC" w:rsidP="0028208B">
            <w:pPr>
              <w:ind w:right="90"/>
              <w:rPr>
                <w:sz w:val="22"/>
                <w:szCs w:val="22"/>
                <w:lang w:val="ro-RO"/>
              </w:rPr>
            </w:pPr>
            <w:r w:rsidRPr="00A24080">
              <w:rPr>
                <w:sz w:val="22"/>
                <w:szCs w:val="22"/>
                <w:lang w:val="ro-RO"/>
              </w:rPr>
              <w:t>5.1.1.</w:t>
            </w:r>
            <w:r w:rsidRPr="00A24080">
              <w:rPr>
                <w:sz w:val="22"/>
                <w:szCs w:val="22"/>
                <w:lang w:val="ro-RO"/>
              </w:rPr>
              <w:tab/>
              <w:t>Observații generale</w:t>
            </w:r>
          </w:p>
        </w:tc>
        <w:tc>
          <w:tcPr>
            <w:tcW w:w="5103" w:type="dxa"/>
          </w:tcPr>
          <w:p w14:paraId="12FE37EA" w14:textId="70417F19" w:rsidR="004D4DFC" w:rsidRPr="00A24080" w:rsidRDefault="00A2637F" w:rsidP="0028208B">
            <w:pPr>
              <w:ind w:right="90"/>
              <w:jc w:val="both"/>
              <w:rPr>
                <w:sz w:val="22"/>
                <w:szCs w:val="22"/>
                <w:lang w:val="ro-RO"/>
              </w:rPr>
            </w:pPr>
            <w:bookmarkStart w:id="16" w:name="_Hlk227764608"/>
            <w:r w:rsidRPr="00A24080">
              <w:rPr>
                <w:sz w:val="22"/>
                <w:szCs w:val="22"/>
                <w:lang w:val="ro-RO"/>
              </w:rPr>
              <w:t>Subsecțiunea 1.</w:t>
            </w:r>
            <w:r w:rsidR="004D4DFC" w:rsidRPr="00A24080">
              <w:rPr>
                <w:sz w:val="22"/>
                <w:szCs w:val="22"/>
                <w:lang w:val="ro-RO"/>
              </w:rPr>
              <w:tab/>
              <w:t>Observații generale</w:t>
            </w:r>
            <w:bookmarkEnd w:id="16"/>
          </w:p>
        </w:tc>
        <w:tc>
          <w:tcPr>
            <w:tcW w:w="1418" w:type="dxa"/>
          </w:tcPr>
          <w:p w14:paraId="3DB3D211" w14:textId="70A08A6C" w:rsidR="004D4DFC" w:rsidRPr="00A24080" w:rsidRDefault="0007353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68EA9A6" w14:textId="77777777" w:rsidR="004D4DFC" w:rsidRPr="00A24080" w:rsidRDefault="004D4DFC" w:rsidP="0028208B">
            <w:pPr>
              <w:jc w:val="both"/>
              <w:rPr>
                <w:bCs/>
                <w:sz w:val="22"/>
                <w:szCs w:val="22"/>
                <w:lang w:val="ro-RO"/>
              </w:rPr>
            </w:pPr>
          </w:p>
        </w:tc>
      </w:tr>
      <w:tr w:rsidR="004D4DFC" w:rsidRPr="00A24080" w14:paraId="46C70D0F" w14:textId="77777777" w:rsidTr="0028208B">
        <w:tc>
          <w:tcPr>
            <w:tcW w:w="5143" w:type="dxa"/>
          </w:tcPr>
          <w:p w14:paraId="0F4384FA" w14:textId="4DA12C96" w:rsidR="004D4DFC" w:rsidRPr="00A24080" w:rsidRDefault="004D4DFC" w:rsidP="0028208B">
            <w:pPr>
              <w:ind w:right="90"/>
              <w:jc w:val="both"/>
              <w:rPr>
                <w:sz w:val="22"/>
                <w:szCs w:val="22"/>
                <w:lang w:val="ro-RO"/>
              </w:rPr>
            </w:pPr>
            <w:r w:rsidRPr="00A24080">
              <w:rPr>
                <w:sz w:val="22"/>
                <w:szCs w:val="22"/>
                <w:lang w:val="ro-RO"/>
              </w:rPr>
              <w:t>160.</w:t>
            </w:r>
            <w:r w:rsidRPr="00A24080">
              <w:rPr>
                <w:sz w:val="22"/>
                <w:szCs w:val="22"/>
                <w:lang w:val="ro-RO"/>
              </w:rPr>
              <w:tab/>
              <w:t xml:space="preserve"> Acest formular reflectă pozițiile și cerințele de fonduri proprii pentru riscul de poziție aferent instrumentelor de datorie tranzacționate conform abordării standardizate [articolul 325 alineatul (2) litera (a) din Regulamentul (UE) nr. 575/2013]. Diferitele riscuri și metode disponibile în temeiul Regulamentului (UE) nr. 575/2013 sunt prezentate pe rânduri. Riscul specific asociat expunerilor incluse în MKR SSA SEC și MKR SSA CTP trebuie raportat numai în formularul Total al MKR SSA TDI. Cerințele de fonduri proprii raportate în formularele respective sunt transferate în celula {0325;0060} (securitizări), respectiv în celula {0330;0060} (CTP).</w:t>
            </w:r>
          </w:p>
        </w:tc>
        <w:tc>
          <w:tcPr>
            <w:tcW w:w="5103" w:type="dxa"/>
          </w:tcPr>
          <w:p w14:paraId="2C512DCF" w14:textId="62AECFB0" w:rsidR="004D4DFC" w:rsidRPr="00A24080" w:rsidRDefault="008C1FF6" w:rsidP="0028208B">
            <w:pPr>
              <w:ind w:right="90"/>
              <w:jc w:val="both"/>
              <w:rPr>
                <w:sz w:val="22"/>
                <w:szCs w:val="22"/>
                <w:lang w:val="ro-RO"/>
              </w:rPr>
            </w:pPr>
            <w:bookmarkStart w:id="17" w:name="_Hlk227764704"/>
            <w:r w:rsidRPr="00A24080">
              <w:rPr>
                <w:sz w:val="22"/>
                <w:szCs w:val="22"/>
                <w:lang w:val="ro-RO"/>
              </w:rPr>
              <w:t>3</w:t>
            </w:r>
            <w:r w:rsidR="004D4DFC" w:rsidRPr="00A24080">
              <w:rPr>
                <w:sz w:val="22"/>
                <w:szCs w:val="22"/>
                <w:lang w:val="ro-RO"/>
              </w:rPr>
              <w:t>. Acest formular reflectă pozițiile și cerințele de fonduri proprii pentru riscul de poziție aferent instrumentelor de datorie tranzacționate conform abordării standardizate [</w:t>
            </w:r>
            <w:r w:rsidRPr="00A24080">
              <w:rPr>
                <w:sz w:val="22"/>
                <w:szCs w:val="22"/>
                <w:lang w:val="ro-RO"/>
              </w:rPr>
              <w:t>subpct.71.1 din Regulamentul nr.XX/2026</w:t>
            </w:r>
            <w:r w:rsidR="004D4DFC" w:rsidRPr="00A24080">
              <w:rPr>
                <w:sz w:val="22"/>
                <w:szCs w:val="22"/>
                <w:lang w:val="ro-RO"/>
              </w:rPr>
              <w:t xml:space="preserve">]. Diferitele riscuri și metode disponibile în temeiul Regulamentului </w:t>
            </w:r>
            <w:r w:rsidRPr="00A24080">
              <w:rPr>
                <w:sz w:val="22"/>
                <w:szCs w:val="22"/>
                <w:lang w:val="ro-RO"/>
              </w:rPr>
              <w:t>nr.XX/2026</w:t>
            </w:r>
            <w:r w:rsidR="004D4DFC" w:rsidRPr="00A24080">
              <w:rPr>
                <w:sz w:val="22"/>
                <w:szCs w:val="22"/>
                <w:lang w:val="ro-RO"/>
              </w:rPr>
              <w:t xml:space="preserve"> sunt prezentate pe rânduri. Riscul specific asociat expunerilor incluse în MKR SSA SEC și MKR SSA CTP trebuie raportat numai în formularul Total al MKR SSA TDI. Cerințele de fonduri proprii raportate în formularele respective sunt transferate în celula {0325;0060} (securitizări), respectiv în celula {0330;0060} (CTP).</w:t>
            </w:r>
            <w:bookmarkEnd w:id="17"/>
          </w:p>
        </w:tc>
        <w:tc>
          <w:tcPr>
            <w:tcW w:w="1418" w:type="dxa"/>
          </w:tcPr>
          <w:p w14:paraId="41572083" w14:textId="73F42D64" w:rsidR="004D4DFC" w:rsidRPr="00A24080" w:rsidRDefault="0007353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68711EA" w14:textId="77777777" w:rsidR="004D4DFC" w:rsidRPr="00A24080" w:rsidRDefault="004D4DFC" w:rsidP="0028208B">
            <w:pPr>
              <w:jc w:val="both"/>
              <w:rPr>
                <w:bCs/>
                <w:sz w:val="22"/>
                <w:szCs w:val="22"/>
                <w:lang w:val="ro-RO"/>
              </w:rPr>
            </w:pPr>
          </w:p>
        </w:tc>
      </w:tr>
      <w:tr w:rsidR="004D4DFC" w:rsidRPr="00EE7DB0" w14:paraId="01EDCD2E" w14:textId="77777777" w:rsidTr="0028208B">
        <w:tc>
          <w:tcPr>
            <w:tcW w:w="5143" w:type="dxa"/>
          </w:tcPr>
          <w:p w14:paraId="2E28C260" w14:textId="4D0FEF95" w:rsidR="004D4DFC" w:rsidRPr="00A24080" w:rsidRDefault="004D4DFC" w:rsidP="0028208B">
            <w:pPr>
              <w:ind w:right="90"/>
              <w:jc w:val="both"/>
              <w:rPr>
                <w:sz w:val="22"/>
                <w:szCs w:val="22"/>
                <w:lang w:val="ro-RO"/>
              </w:rPr>
            </w:pPr>
            <w:r w:rsidRPr="00A24080">
              <w:rPr>
                <w:sz w:val="22"/>
                <w:szCs w:val="22"/>
                <w:lang w:val="ro-RO"/>
              </w:rPr>
              <w:t>161.</w:t>
            </w:r>
            <w:r w:rsidRPr="00A24080">
              <w:rPr>
                <w:sz w:val="22"/>
                <w:szCs w:val="22"/>
                <w:lang w:val="ro-RO"/>
              </w:rPr>
              <w:tab/>
              <w:t xml:space="preserve"> Formularul trebuie să fie completat separat pentru «Total», precum și pentru o listă prestabilită cuprinzând monedele următoare: EUR, ALL, BGN, CZK, DKK, EGP, GBP, HUF, ISK, JPY, MKD, NOK, PLN, RON, RUB, RSD, SEK, CHF, TRY, UAH, USD, precum și un formular rezidual care acoperă toate celelalte monede.</w:t>
            </w:r>
          </w:p>
        </w:tc>
        <w:tc>
          <w:tcPr>
            <w:tcW w:w="5103" w:type="dxa"/>
          </w:tcPr>
          <w:p w14:paraId="6CB59631" w14:textId="100B11AC" w:rsidR="004D4DFC" w:rsidRPr="00A24080" w:rsidRDefault="009D3508" w:rsidP="0028208B">
            <w:pPr>
              <w:ind w:right="90"/>
              <w:jc w:val="both"/>
              <w:rPr>
                <w:sz w:val="22"/>
                <w:szCs w:val="22"/>
                <w:lang w:val="ro-RO"/>
              </w:rPr>
            </w:pPr>
            <w:bookmarkStart w:id="18" w:name="_Hlk227766232"/>
            <w:r w:rsidRPr="00A24080">
              <w:rPr>
                <w:sz w:val="22"/>
                <w:szCs w:val="22"/>
                <w:lang w:val="ro-RO"/>
              </w:rPr>
              <w:t>4</w:t>
            </w:r>
            <w:r w:rsidR="004D4DFC" w:rsidRPr="00A24080">
              <w:rPr>
                <w:sz w:val="22"/>
                <w:szCs w:val="22"/>
                <w:lang w:val="ro-RO"/>
              </w:rPr>
              <w:t>.</w:t>
            </w:r>
            <w:r w:rsidR="004D4DFC" w:rsidRPr="00A24080">
              <w:rPr>
                <w:sz w:val="22"/>
                <w:szCs w:val="22"/>
                <w:lang w:val="ro-RO"/>
              </w:rPr>
              <w:tab/>
              <w:t xml:space="preserve">Formularul trebuie să fie completat separat pentru «Total», precum și pentru o listă prestabilită cuprinzând monedele următoare: EUR, ALL, BGN, CZK, DKK, EGP, GBP, HUF, ISK, JPY, </w:t>
            </w:r>
            <w:r w:rsidR="0034024B" w:rsidRPr="00A24080">
              <w:rPr>
                <w:sz w:val="22"/>
                <w:szCs w:val="22"/>
                <w:lang w:val="ro-RO"/>
              </w:rPr>
              <w:t xml:space="preserve">MDL, </w:t>
            </w:r>
            <w:r w:rsidR="004D4DFC" w:rsidRPr="00A24080">
              <w:rPr>
                <w:sz w:val="22"/>
                <w:szCs w:val="22"/>
                <w:lang w:val="ro-RO"/>
              </w:rPr>
              <w:t>MKD,</w:t>
            </w:r>
            <w:r w:rsidR="0034024B" w:rsidRPr="00A24080">
              <w:rPr>
                <w:sz w:val="22"/>
                <w:szCs w:val="22"/>
                <w:lang w:val="ro-RO"/>
              </w:rPr>
              <w:t xml:space="preserve"> </w:t>
            </w:r>
            <w:r w:rsidR="004D4DFC" w:rsidRPr="00A24080">
              <w:rPr>
                <w:sz w:val="22"/>
                <w:szCs w:val="22"/>
                <w:lang w:val="ro-RO"/>
              </w:rPr>
              <w:t>NOK, PLN, RON, RUB, RSD, SEK, CHF, TRY, UAH, USD, precum și un formular rezidual care acoperă toate celelalte monede.</w:t>
            </w:r>
            <w:bookmarkEnd w:id="18"/>
            <w:r w:rsidR="002E18C2" w:rsidRPr="00EE7DB0">
              <w:rPr>
                <w:lang w:val="ro-RO"/>
              </w:rPr>
              <w:t xml:space="preserve"> </w:t>
            </w:r>
            <w:r w:rsidR="002E18C2" w:rsidRPr="002E18C2">
              <w:rPr>
                <w:sz w:val="22"/>
                <w:szCs w:val="22"/>
                <w:lang w:val="ro-RO"/>
              </w:rPr>
              <w:t>Monedele enumerate vor fi raportate doar în cazul în care se conțin date aferente acestora în perioada de raportare, iar formularul rezidual care acoperă toate celelalte monede se va raporta de fiecare dată, cu indicarea „Alte” în secțiunea formularului intitulată „Moneda”.</w:t>
            </w:r>
          </w:p>
        </w:tc>
        <w:tc>
          <w:tcPr>
            <w:tcW w:w="1418" w:type="dxa"/>
          </w:tcPr>
          <w:p w14:paraId="0D4FD448" w14:textId="7DAC3CD3" w:rsidR="004D4DFC" w:rsidRPr="00A24080" w:rsidRDefault="0007353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A8F9902" w14:textId="15FA03D4" w:rsidR="004D4DFC" w:rsidRPr="00A24080" w:rsidRDefault="0034024B" w:rsidP="0028208B">
            <w:pPr>
              <w:jc w:val="both"/>
              <w:rPr>
                <w:sz w:val="22"/>
                <w:szCs w:val="22"/>
                <w:lang w:val="ro-RO"/>
              </w:rPr>
            </w:pPr>
            <w:r w:rsidRPr="00A24080">
              <w:rPr>
                <w:sz w:val="22"/>
                <w:szCs w:val="22"/>
                <w:lang w:val="ro-RO"/>
              </w:rPr>
              <w:t>Lista monedelor în care formularul trebuie să fie completat a fost completată cu leul moldovenesc (MDL).</w:t>
            </w:r>
            <w:r w:rsidR="002E18C2" w:rsidRPr="00EE7DB0">
              <w:rPr>
                <w:lang w:val="ro-RO"/>
              </w:rPr>
              <w:t xml:space="preserve"> </w:t>
            </w:r>
            <w:r w:rsidR="002E18C2">
              <w:rPr>
                <w:sz w:val="22"/>
                <w:szCs w:val="22"/>
                <w:lang w:val="ro-RO"/>
              </w:rPr>
              <w:t xml:space="preserve">Ținând cont de faptul </w:t>
            </w:r>
            <w:r w:rsidR="002E18C2" w:rsidRPr="002E18C2">
              <w:rPr>
                <w:sz w:val="22"/>
                <w:szCs w:val="22"/>
                <w:lang w:val="ro-RO"/>
              </w:rPr>
              <w:t xml:space="preserve">că multe dintre </w:t>
            </w:r>
            <w:r w:rsidR="002E18C2">
              <w:rPr>
                <w:sz w:val="22"/>
                <w:szCs w:val="22"/>
                <w:lang w:val="ro-RO"/>
              </w:rPr>
              <w:t>valutele enumerate</w:t>
            </w:r>
            <w:r w:rsidR="002E18C2" w:rsidRPr="002E18C2">
              <w:rPr>
                <w:sz w:val="22"/>
                <w:szCs w:val="22"/>
                <w:lang w:val="ro-RO"/>
              </w:rPr>
              <w:t xml:space="preserve"> </w:t>
            </w:r>
            <w:r w:rsidR="009A3975">
              <w:rPr>
                <w:sz w:val="22"/>
                <w:szCs w:val="22"/>
                <w:lang w:val="ro-RO"/>
              </w:rPr>
              <w:t xml:space="preserve">în listă </w:t>
            </w:r>
            <w:r w:rsidR="002E18C2" w:rsidRPr="002E18C2">
              <w:rPr>
                <w:sz w:val="22"/>
                <w:szCs w:val="22"/>
                <w:lang w:val="ro-RO"/>
              </w:rPr>
              <w:t>nu</w:t>
            </w:r>
            <w:r w:rsidR="002E18C2">
              <w:rPr>
                <w:sz w:val="22"/>
                <w:szCs w:val="22"/>
                <w:lang w:val="ro-RO"/>
              </w:rPr>
              <w:t xml:space="preserve"> </w:t>
            </w:r>
            <w:r w:rsidR="002E18C2" w:rsidRPr="002E18C2">
              <w:rPr>
                <w:sz w:val="22"/>
                <w:szCs w:val="22"/>
                <w:lang w:val="ro-RO"/>
              </w:rPr>
              <w:t>sunt uzuale pentru tranzacțiile băncilor în R.M, iar fixarea acestor formulare care urmează a fi</w:t>
            </w:r>
            <w:r w:rsidR="002E18C2">
              <w:rPr>
                <w:sz w:val="22"/>
                <w:szCs w:val="22"/>
                <w:lang w:val="ro-RO"/>
              </w:rPr>
              <w:t xml:space="preserve"> </w:t>
            </w:r>
            <w:r w:rsidR="002E18C2" w:rsidRPr="002E18C2">
              <w:rPr>
                <w:sz w:val="22"/>
                <w:szCs w:val="22"/>
                <w:lang w:val="ro-RO"/>
              </w:rPr>
              <w:t xml:space="preserve">raportate fără date (valute neutilizate) ar putea îngreuna analiza datelor din raport, </w:t>
            </w:r>
            <w:r w:rsidR="002E18C2">
              <w:rPr>
                <w:sz w:val="22"/>
                <w:szCs w:val="22"/>
                <w:lang w:val="ro-RO"/>
              </w:rPr>
              <w:t>s-a considerat</w:t>
            </w:r>
            <w:r w:rsidR="002E18C2" w:rsidRPr="002E18C2">
              <w:rPr>
                <w:sz w:val="22"/>
                <w:szCs w:val="22"/>
                <w:lang w:val="ro-RO"/>
              </w:rPr>
              <w:t xml:space="preserve"> oportun</w:t>
            </w:r>
            <w:r w:rsidR="002E18C2">
              <w:rPr>
                <w:sz w:val="22"/>
                <w:szCs w:val="22"/>
                <w:lang w:val="ro-RO"/>
              </w:rPr>
              <w:t xml:space="preserve"> de a specifica că</w:t>
            </w:r>
            <w:r w:rsidR="002E18C2" w:rsidRPr="002E18C2">
              <w:rPr>
                <w:sz w:val="22"/>
                <w:szCs w:val="22"/>
                <w:lang w:val="ro-RO"/>
              </w:rPr>
              <w:t xml:space="preserve"> </w:t>
            </w:r>
            <w:r w:rsidR="002E18C2" w:rsidRPr="00EE7DB0">
              <w:rPr>
                <w:lang w:val="ro-RO"/>
              </w:rPr>
              <w:t xml:space="preserve"> </w:t>
            </w:r>
            <w:r w:rsidR="002E18C2">
              <w:rPr>
                <w:lang w:val="ro-RO"/>
              </w:rPr>
              <w:t>m</w:t>
            </w:r>
            <w:r w:rsidR="002E18C2" w:rsidRPr="002E18C2">
              <w:rPr>
                <w:sz w:val="22"/>
                <w:szCs w:val="22"/>
                <w:lang w:val="ro-RO"/>
              </w:rPr>
              <w:t xml:space="preserve">onedele enumerate vor fi raportate doar în cazul în care se conțin date </w:t>
            </w:r>
            <w:r w:rsidR="002E18C2" w:rsidRPr="002E18C2">
              <w:rPr>
                <w:sz w:val="22"/>
                <w:szCs w:val="22"/>
                <w:lang w:val="ro-RO"/>
              </w:rPr>
              <w:lastRenderedPageBreak/>
              <w:t>aferente acestora în perioada de raportare</w:t>
            </w:r>
            <w:r w:rsidR="002E18C2">
              <w:rPr>
                <w:sz w:val="22"/>
                <w:szCs w:val="22"/>
                <w:lang w:val="ro-RO"/>
              </w:rPr>
              <w:t>.</w:t>
            </w:r>
          </w:p>
        </w:tc>
      </w:tr>
      <w:tr w:rsidR="000820CC" w:rsidRPr="00A24080" w14:paraId="5038E55B" w14:textId="77777777" w:rsidTr="0028208B">
        <w:tc>
          <w:tcPr>
            <w:tcW w:w="5143" w:type="dxa"/>
          </w:tcPr>
          <w:p w14:paraId="3E0F7DB1" w14:textId="20615446" w:rsidR="000820CC" w:rsidRPr="00A24080" w:rsidRDefault="00E175EA" w:rsidP="0028208B">
            <w:pPr>
              <w:ind w:right="90"/>
              <w:rPr>
                <w:sz w:val="22"/>
                <w:szCs w:val="22"/>
                <w:lang w:val="ro-RO"/>
              </w:rPr>
            </w:pPr>
            <w:r w:rsidRPr="00A24080">
              <w:rPr>
                <w:sz w:val="22"/>
                <w:szCs w:val="22"/>
                <w:lang w:val="ro-RO"/>
              </w:rPr>
              <w:lastRenderedPageBreak/>
              <w:t>5.1.2.</w:t>
            </w:r>
            <w:r w:rsidRPr="00A24080">
              <w:rPr>
                <w:sz w:val="22"/>
                <w:szCs w:val="22"/>
                <w:lang w:val="ro-RO"/>
              </w:rPr>
              <w:tab/>
              <w:t>Instrucțiuni privind anumite poziții</w:t>
            </w:r>
          </w:p>
        </w:tc>
        <w:tc>
          <w:tcPr>
            <w:tcW w:w="5103" w:type="dxa"/>
          </w:tcPr>
          <w:p w14:paraId="7355BBF3" w14:textId="1AAE91C3" w:rsidR="000820CC" w:rsidRPr="00A24080" w:rsidRDefault="009D3508" w:rsidP="0028208B">
            <w:pPr>
              <w:ind w:right="90"/>
              <w:rPr>
                <w:sz w:val="22"/>
                <w:szCs w:val="22"/>
                <w:lang w:val="ro-RO"/>
              </w:rPr>
            </w:pPr>
            <w:r w:rsidRPr="00A24080">
              <w:rPr>
                <w:sz w:val="22"/>
                <w:szCs w:val="22"/>
                <w:lang w:val="ro-RO"/>
              </w:rPr>
              <w:t>.</w:t>
            </w:r>
            <w:r w:rsidR="009D4BA8" w:rsidRPr="00A24080">
              <w:rPr>
                <w:sz w:val="22"/>
                <w:szCs w:val="22"/>
                <w:lang w:val="ro-RO"/>
              </w:rPr>
              <w:tab/>
              <w:t>Instrucțiuni privind anumite poziții</w:t>
            </w:r>
          </w:p>
        </w:tc>
        <w:tc>
          <w:tcPr>
            <w:tcW w:w="1418" w:type="dxa"/>
          </w:tcPr>
          <w:p w14:paraId="3B185283" w14:textId="12A05769" w:rsidR="000820CC" w:rsidRPr="00A24080" w:rsidRDefault="0007353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F224189" w14:textId="77777777" w:rsidR="000820CC" w:rsidRPr="00A24080" w:rsidRDefault="000820CC" w:rsidP="0028208B">
            <w:pPr>
              <w:jc w:val="both"/>
              <w:rPr>
                <w:bCs/>
                <w:sz w:val="22"/>
                <w:szCs w:val="22"/>
                <w:lang w:val="ro-RO"/>
              </w:rPr>
            </w:pPr>
          </w:p>
        </w:tc>
      </w:tr>
      <w:tr w:rsidR="000820CC" w:rsidRPr="00A24080" w14:paraId="1E7B1AC9"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11"/>
            </w:tblGrid>
            <w:tr w:rsidR="00494B45" w:rsidRPr="00A24080" w14:paraId="4ED627E5" w14:textId="77777777" w:rsidTr="009D4BA8">
              <w:tc>
                <w:tcPr>
                  <w:tcW w:w="4885" w:type="dxa"/>
                  <w:gridSpan w:val="2"/>
                  <w:shd w:val="clear" w:color="auto" w:fill="AEAAAA" w:themeFill="background2" w:themeFillShade="BF"/>
                </w:tcPr>
                <w:p w14:paraId="4150ABA8" w14:textId="43300B70" w:rsidR="00494B45" w:rsidRPr="00A24080" w:rsidRDefault="00494B45" w:rsidP="0028208B">
                  <w:pPr>
                    <w:framePr w:hSpace="180" w:wrap="around" w:vAnchor="text" w:hAnchor="text" w:x="-612" w:y="1"/>
                    <w:ind w:right="90"/>
                    <w:suppressOverlap/>
                    <w:rPr>
                      <w:b/>
                      <w:bCs/>
                      <w:sz w:val="22"/>
                      <w:szCs w:val="22"/>
                      <w:lang w:val="ro-MD"/>
                    </w:rPr>
                  </w:pPr>
                  <w:r w:rsidRPr="00A24080">
                    <w:rPr>
                      <w:b/>
                      <w:bCs/>
                      <w:sz w:val="22"/>
                      <w:szCs w:val="22"/>
                      <w:lang w:val="ro-MD"/>
                    </w:rPr>
                    <w:t>Coloane</w:t>
                  </w:r>
                </w:p>
              </w:tc>
            </w:tr>
            <w:tr w:rsidR="00494B45" w:rsidRPr="00EE7DB0" w14:paraId="31CBA66E" w14:textId="77777777" w:rsidTr="009D4BA8">
              <w:tc>
                <w:tcPr>
                  <w:tcW w:w="774" w:type="dxa"/>
                </w:tcPr>
                <w:p w14:paraId="08C54A32" w14:textId="49C09EDD" w:rsidR="00494B45" w:rsidRPr="00A24080" w:rsidRDefault="00494B45"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4111" w:type="dxa"/>
                </w:tcPr>
                <w:p w14:paraId="7D9B5A60" w14:textId="77777777" w:rsidR="00494B45" w:rsidRPr="00A24080" w:rsidRDefault="00494B45"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13BC1704" w14:textId="4BE709C3" w:rsidR="00494B45" w:rsidRPr="00A24080" w:rsidRDefault="00494B45" w:rsidP="0028208B">
                  <w:pPr>
                    <w:framePr w:hSpace="180" w:wrap="around" w:vAnchor="text" w:hAnchor="text" w:x="-612" w:y="1"/>
                    <w:ind w:right="90"/>
                    <w:suppressOverlap/>
                    <w:jc w:val="both"/>
                    <w:rPr>
                      <w:sz w:val="22"/>
                      <w:szCs w:val="22"/>
                      <w:lang w:val="ro-RO"/>
                    </w:rPr>
                  </w:pPr>
                  <w:r w:rsidRPr="00A24080">
                    <w:rPr>
                      <w:sz w:val="22"/>
                      <w:szCs w:val="22"/>
                      <w:lang w:val="it-IT"/>
                    </w:rPr>
                    <w:t>Articolul 102 și articolul 105 alineatul (1) din Regulamentul (UE) nr. 575/2013. Acestea sunt poziții brute, necompensate cu instrumente, excluzând însă pozițiile aferente angajamentelor de preluare fermă subscrise sau subangajate de către terțe părți în conformitate cu articolul 345 alineatul (1) primul paragraf a doua teză din Regulamentul (UE) nr. 575/2013. În ceea ce privește distincția dintre pozițiile lungi și scurte, care se aplică și în cazul acestor poziții brute, a se vedea articolul 328 alineatul (2) din Regulamentul (UE) nr. 575/2013.</w:t>
                  </w:r>
                </w:p>
              </w:tc>
            </w:tr>
          </w:tbl>
          <w:p w14:paraId="588427F4" w14:textId="77777777" w:rsidR="000820CC" w:rsidRPr="00A24080" w:rsidRDefault="000820CC"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11"/>
            </w:tblGrid>
            <w:tr w:rsidR="009D4BA8" w:rsidRPr="00A24080" w14:paraId="64C8C54E" w14:textId="77777777" w:rsidTr="003146FA">
              <w:tc>
                <w:tcPr>
                  <w:tcW w:w="4885" w:type="dxa"/>
                  <w:gridSpan w:val="2"/>
                  <w:shd w:val="clear" w:color="auto" w:fill="AEAAAA" w:themeFill="background2" w:themeFillShade="BF"/>
                </w:tcPr>
                <w:p w14:paraId="58F25C38" w14:textId="77777777" w:rsidR="009D4BA8" w:rsidRPr="00A24080" w:rsidRDefault="009D4BA8" w:rsidP="0028208B">
                  <w:pPr>
                    <w:framePr w:hSpace="180" w:wrap="around" w:vAnchor="text" w:hAnchor="text" w:x="-612" w:y="1"/>
                    <w:ind w:right="90"/>
                    <w:suppressOverlap/>
                    <w:rPr>
                      <w:b/>
                      <w:bCs/>
                      <w:sz w:val="22"/>
                      <w:szCs w:val="22"/>
                      <w:lang w:val="ro-MD"/>
                    </w:rPr>
                  </w:pPr>
                  <w:r w:rsidRPr="00A24080">
                    <w:rPr>
                      <w:b/>
                      <w:bCs/>
                      <w:sz w:val="22"/>
                      <w:szCs w:val="22"/>
                      <w:lang w:val="ro-MD"/>
                    </w:rPr>
                    <w:t>Coloane</w:t>
                  </w:r>
                </w:p>
              </w:tc>
            </w:tr>
            <w:tr w:rsidR="009D4BA8" w:rsidRPr="00EE7DB0" w14:paraId="4970B3CC" w14:textId="77777777" w:rsidTr="003146FA">
              <w:tc>
                <w:tcPr>
                  <w:tcW w:w="774" w:type="dxa"/>
                </w:tcPr>
                <w:p w14:paraId="05462FEF" w14:textId="77777777" w:rsidR="009D4BA8" w:rsidRPr="00A24080" w:rsidRDefault="009D4BA8"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4111" w:type="dxa"/>
                </w:tcPr>
                <w:p w14:paraId="70A99B32" w14:textId="77777777" w:rsidR="009D4BA8" w:rsidRPr="00A24080" w:rsidRDefault="009D4BA8"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35B3AFEC" w14:textId="6B35C7E3" w:rsidR="009D4BA8" w:rsidRPr="00A24080" w:rsidRDefault="0091121C" w:rsidP="0028208B">
                  <w:pPr>
                    <w:framePr w:hSpace="180" w:wrap="around" w:vAnchor="text" w:hAnchor="text" w:x="-612" w:y="1"/>
                    <w:ind w:right="90"/>
                    <w:suppressOverlap/>
                    <w:jc w:val="both"/>
                    <w:rPr>
                      <w:sz w:val="22"/>
                      <w:szCs w:val="22"/>
                      <w:lang w:val="ro-RO"/>
                    </w:rPr>
                  </w:pPr>
                  <w:r w:rsidRPr="00A24080">
                    <w:rPr>
                      <w:sz w:val="22"/>
                      <w:szCs w:val="22"/>
                      <w:lang w:val="it-IT"/>
                    </w:rPr>
                    <w:t xml:space="preserve"> </w:t>
                  </w:r>
                  <w:r w:rsidR="00211D9F" w:rsidRPr="00A24080">
                    <w:rPr>
                      <w:sz w:val="22"/>
                      <w:szCs w:val="22"/>
                      <w:lang w:val="it-IT"/>
                    </w:rPr>
                    <w:t>Titlul II capitolul III secțiunea 1</w:t>
                  </w:r>
                  <w:r w:rsidR="009D4BA8" w:rsidRPr="00A24080">
                    <w:rPr>
                      <w:sz w:val="22"/>
                      <w:szCs w:val="22"/>
                      <w:lang w:val="it-IT"/>
                    </w:rPr>
                    <w:t xml:space="preserve"> și </w:t>
                  </w:r>
                  <w:r w:rsidR="00211D9F" w:rsidRPr="00A24080">
                    <w:rPr>
                      <w:sz w:val="22"/>
                      <w:szCs w:val="22"/>
                      <w:lang w:val="it-IT"/>
                    </w:rPr>
                    <w:t>pct.41</w:t>
                  </w:r>
                  <w:r w:rsidR="009D4BA8" w:rsidRPr="00A24080">
                    <w:rPr>
                      <w:sz w:val="22"/>
                      <w:szCs w:val="22"/>
                      <w:lang w:val="it-IT"/>
                    </w:rPr>
                    <w:t xml:space="preserve"> din Regulamentul </w:t>
                  </w:r>
                  <w:r w:rsidR="00211D9F" w:rsidRPr="00A24080">
                    <w:rPr>
                      <w:sz w:val="22"/>
                      <w:szCs w:val="22"/>
                      <w:lang w:val="it-IT"/>
                    </w:rPr>
                    <w:t>nr.XX/2026</w:t>
                  </w:r>
                  <w:r w:rsidR="009D4BA8" w:rsidRPr="00A24080">
                    <w:rPr>
                      <w:sz w:val="22"/>
                      <w:szCs w:val="22"/>
                      <w:lang w:val="it-IT"/>
                    </w:rPr>
                    <w:t>. Acestea sunt poziții brute, necompensate cu instrumente, excluzând însă pozițiile aferente angajamentelor de preluare fermă subscrise sau subangajate de către terțe părți în conformitate cu</w:t>
                  </w:r>
                  <w:r w:rsidR="00211D9F" w:rsidRPr="00A24080">
                    <w:rPr>
                      <w:sz w:val="22"/>
                      <w:szCs w:val="22"/>
                      <w:lang w:val="it-IT"/>
                    </w:rPr>
                    <w:t xml:space="preserve"> pct.475 din Regulamentul nr.XX/2026</w:t>
                  </w:r>
                  <w:r w:rsidR="009D4BA8" w:rsidRPr="00A24080">
                    <w:rPr>
                      <w:sz w:val="22"/>
                      <w:szCs w:val="22"/>
                      <w:lang w:val="it-IT"/>
                    </w:rPr>
                    <w:t>. În ceea ce privește distincția dintre pozițiile lungi și scurte, care se aplică și în cazul acestor poziții brute, a se vedea</w:t>
                  </w:r>
                  <w:r w:rsidR="00073534" w:rsidRPr="00A24080">
                    <w:rPr>
                      <w:sz w:val="22"/>
                      <w:szCs w:val="22"/>
                      <w:lang w:val="it-IT"/>
                    </w:rPr>
                    <w:t>pct.422 din Regulamentul nr.XX/2026</w:t>
                  </w:r>
                  <w:r w:rsidR="009D4BA8" w:rsidRPr="00A24080">
                    <w:rPr>
                      <w:sz w:val="22"/>
                      <w:szCs w:val="22"/>
                      <w:lang w:val="it-IT"/>
                    </w:rPr>
                    <w:t>.</w:t>
                  </w:r>
                </w:p>
              </w:tc>
            </w:tr>
          </w:tbl>
          <w:p w14:paraId="60FDB16D" w14:textId="77777777" w:rsidR="000820CC" w:rsidRPr="00A24080" w:rsidRDefault="000820CC" w:rsidP="0028208B">
            <w:pPr>
              <w:ind w:right="90"/>
              <w:rPr>
                <w:sz w:val="22"/>
                <w:szCs w:val="22"/>
                <w:lang w:val="ro-RO"/>
              </w:rPr>
            </w:pPr>
          </w:p>
        </w:tc>
        <w:tc>
          <w:tcPr>
            <w:tcW w:w="1418" w:type="dxa"/>
          </w:tcPr>
          <w:p w14:paraId="7F8C911D" w14:textId="7F3A2FC0" w:rsidR="000820CC" w:rsidRPr="00A24080" w:rsidRDefault="0007353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EA802AA" w14:textId="77777777" w:rsidR="000820CC" w:rsidRPr="00A24080" w:rsidRDefault="000820CC" w:rsidP="0028208B">
            <w:pPr>
              <w:jc w:val="both"/>
              <w:rPr>
                <w:bCs/>
                <w:sz w:val="22"/>
                <w:szCs w:val="22"/>
                <w:lang w:val="ro-RO"/>
              </w:rPr>
            </w:pPr>
          </w:p>
        </w:tc>
      </w:tr>
      <w:tr w:rsidR="00476413" w:rsidRPr="00A24080" w14:paraId="1F17746A"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4C5D23C8" w14:textId="77777777" w:rsidTr="006B47EB">
              <w:tc>
                <w:tcPr>
                  <w:tcW w:w="774" w:type="dxa"/>
                </w:tcPr>
                <w:p w14:paraId="02DA65CF" w14:textId="3D26B3EE" w:rsidR="00476413" w:rsidRPr="00A24080" w:rsidRDefault="00476413" w:rsidP="0028208B">
                  <w:pPr>
                    <w:framePr w:hSpace="180" w:wrap="around" w:vAnchor="text" w:hAnchor="text" w:x="-612" w:y="1"/>
                    <w:ind w:right="90"/>
                    <w:suppressOverlap/>
                    <w:jc w:val="both"/>
                    <w:rPr>
                      <w:sz w:val="22"/>
                      <w:szCs w:val="22"/>
                      <w:lang w:val="ro-RO"/>
                    </w:rPr>
                  </w:pPr>
                  <w:bookmarkStart w:id="19" w:name="_Hlk225499945"/>
                  <w:r w:rsidRPr="00A24080">
                    <w:rPr>
                      <w:sz w:val="22"/>
                      <w:szCs w:val="22"/>
                    </w:rPr>
                    <w:t>0030-0040</w:t>
                  </w:r>
                </w:p>
              </w:tc>
              <w:tc>
                <w:tcPr>
                  <w:tcW w:w="4143" w:type="dxa"/>
                </w:tcPr>
                <w:p w14:paraId="10D1938C"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0F806987" w14:textId="53160C6B"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it-IT"/>
                    </w:rPr>
                    <w:t>Articolele 327-329 și articolul 334 din Regulamentul (UE) nr. 575/2013. În ceea ce privește distincția dintre pozițiile lungi și scurte, a se vedea articolul 328 alineatul (2) din Regulamentul (UE) nr. 575/2013.</w:t>
                  </w:r>
                </w:p>
              </w:tc>
            </w:tr>
            <w:bookmarkEnd w:id="19"/>
          </w:tbl>
          <w:p w14:paraId="3ED65113" w14:textId="77777777"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39DF41C2" w14:textId="77777777" w:rsidTr="003146FA">
              <w:tc>
                <w:tcPr>
                  <w:tcW w:w="774" w:type="dxa"/>
                </w:tcPr>
                <w:p w14:paraId="42764AF6"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4143" w:type="dxa"/>
                </w:tcPr>
                <w:p w14:paraId="4F26A4AB"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18882424" w14:textId="01FC5088" w:rsidR="00476413" w:rsidRPr="00A24080" w:rsidRDefault="00CF3A59" w:rsidP="0028208B">
                  <w:pPr>
                    <w:framePr w:hSpace="180" w:wrap="around" w:vAnchor="text" w:hAnchor="text" w:x="-612" w:y="1"/>
                    <w:ind w:right="90"/>
                    <w:suppressOverlap/>
                    <w:jc w:val="both"/>
                    <w:rPr>
                      <w:sz w:val="22"/>
                      <w:szCs w:val="22"/>
                      <w:lang w:val="ro-RO"/>
                    </w:rPr>
                  </w:pPr>
                  <w:r w:rsidRPr="00A24080">
                    <w:rPr>
                      <w:sz w:val="22"/>
                      <w:szCs w:val="22"/>
                      <w:lang w:val="it-IT"/>
                    </w:rPr>
                    <w:t xml:space="preserve">Titlul II capitolul IV secțiunea 1 subsecțiunile 2-4 </w:t>
                  </w:r>
                  <w:r w:rsidR="00476413" w:rsidRPr="00A24080">
                    <w:rPr>
                      <w:sz w:val="22"/>
                      <w:szCs w:val="22"/>
                      <w:lang w:val="it-IT"/>
                    </w:rPr>
                    <w:t xml:space="preserve">și </w:t>
                  </w:r>
                  <w:r w:rsidRPr="00A24080">
                    <w:rPr>
                      <w:sz w:val="22"/>
                      <w:szCs w:val="22"/>
                      <w:lang w:val="it-IT"/>
                    </w:rPr>
                    <w:t>secțiunea 2</w:t>
                  </w:r>
                  <w:r w:rsidR="00476413" w:rsidRPr="00A24080">
                    <w:rPr>
                      <w:sz w:val="22"/>
                      <w:szCs w:val="22"/>
                      <w:lang w:val="it-IT"/>
                    </w:rPr>
                    <w:t xml:space="preserve"> din Regulamentul </w:t>
                  </w:r>
                  <w:r w:rsidRPr="00A24080">
                    <w:rPr>
                      <w:sz w:val="22"/>
                      <w:szCs w:val="22"/>
                      <w:lang w:val="it-IT"/>
                    </w:rPr>
                    <w:t>nr.XX/2026</w:t>
                  </w:r>
                  <w:r w:rsidR="00476413" w:rsidRPr="00A24080">
                    <w:rPr>
                      <w:sz w:val="22"/>
                      <w:szCs w:val="22"/>
                      <w:lang w:val="it-IT"/>
                    </w:rPr>
                    <w:t xml:space="preserve">. În ceea ce privește distincția dintre pozițiile lungi și scurte, a se vedea </w:t>
                  </w:r>
                  <w:r w:rsidRPr="00A24080">
                    <w:rPr>
                      <w:sz w:val="22"/>
                      <w:szCs w:val="22"/>
                      <w:lang w:val="it-IT"/>
                    </w:rPr>
                    <w:t>pct.422</w:t>
                  </w:r>
                  <w:r w:rsidR="00476413" w:rsidRPr="00A24080">
                    <w:rPr>
                      <w:sz w:val="22"/>
                      <w:szCs w:val="22"/>
                      <w:lang w:val="it-IT"/>
                    </w:rPr>
                    <w:t xml:space="preserve"> din Regulamentul </w:t>
                  </w:r>
                  <w:r w:rsidRPr="00A24080">
                    <w:rPr>
                      <w:sz w:val="22"/>
                      <w:szCs w:val="22"/>
                      <w:lang w:val="it-IT"/>
                    </w:rPr>
                    <w:t>nr.XX/2026</w:t>
                  </w:r>
                  <w:r w:rsidR="00476413" w:rsidRPr="00A24080">
                    <w:rPr>
                      <w:sz w:val="22"/>
                      <w:szCs w:val="22"/>
                      <w:lang w:val="it-IT"/>
                    </w:rPr>
                    <w:t>.</w:t>
                  </w:r>
                </w:p>
              </w:tc>
            </w:tr>
          </w:tbl>
          <w:p w14:paraId="3EF117A6" w14:textId="77777777" w:rsidR="00476413" w:rsidRPr="00A24080" w:rsidRDefault="00476413" w:rsidP="0028208B">
            <w:pPr>
              <w:ind w:right="90"/>
              <w:rPr>
                <w:sz w:val="22"/>
                <w:szCs w:val="22"/>
                <w:lang w:val="ro-RO"/>
              </w:rPr>
            </w:pPr>
          </w:p>
        </w:tc>
        <w:tc>
          <w:tcPr>
            <w:tcW w:w="1418" w:type="dxa"/>
          </w:tcPr>
          <w:p w14:paraId="42251BAA" w14:textId="66CF989F"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4A312DD" w14:textId="77777777" w:rsidR="00476413" w:rsidRPr="00A24080" w:rsidRDefault="00476413" w:rsidP="0028208B">
            <w:pPr>
              <w:jc w:val="both"/>
              <w:rPr>
                <w:bCs/>
                <w:sz w:val="22"/>
                <w:szCs w:val="22"/>
                <w:lang w:val="ro-RO"/>
              </w:rPr>
            </w:pPr>
          </w:p>
        </w:tc>
      </w:tr>
      <w:tr w:rsidR="00476413" w:rsidRPr="00A24080" w14:paraId="4782F635"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1BFA20E7" w14:textId="77777777" w:rsidTr="006B47EB">
              <w:tc>
                <w:tcPr>
                  <w:tcW w:w="774" w:type="dxa"/>
                </w:tcPr>
                <w:p w14:paraId="017E2A06" w14:textId="53244D61"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0050</w:t>
                  </w:r>
                </w:p>
              </w:tc>
              <w:tc>
                <w:tcPr>
                  <w:tcW w:w="4143" w:type="dxa"/>
                </w:tcPr>
                <w:p w14:paraId="32B95E07"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601EE312" w14:textId="0C58F994"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Pozițiile nete care, în conformitate cu diferitele abordări avute în vedere în partea a treia titlul IV capitolul 2 din Regulamentul (UE) nr. 575/2013, sunt supuse unei cerințe de capital.</w:t>
                  </w:r>
                </w:p>
              </w:tc>
            </w:tr>
          </w:tbl>
          <w:p w14:paraId="3A57F89F" w14:textId="77777777"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2702E621" w14:textId="77777777" w:rsidTr="003146FA">
              <w:tc>
                <w:tcPr>
                  <w:tcW w:w="774" w:type="dxa"/>
                </w:tcPr>
                <w:p w14:paraId="44EA90A9"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0050</w:t>
                  </w:r>
                </w:p>
              </w:tc>
              <w:tc>
                <w:tcPr>
                  <w:tcW w:w="4143" w:type="dxa"/>
                </w:tcPr>
                <w:p w14:paraId="75BC6D6C"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58BEB3C1" w14:textId="25DC0463"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Pozițiile nete care, în conformitate cu diferitele abordări avute în vedere în titlul </w:t>
                  </w:r>
                  <w:r w:rsidR="00826F88" w:rsidRPr="00A24080">
                    <w:rPr>
                      <w:sz w:val="22"/>
                      <w:szCs w:val="22"/>
                      <w:lang w:val="ro-RO"/>
                    </w:rPr>
                    <w:t xml:space="preserve">II </w:t>
                  </w:r>
                  <w:r w:rsidRPr="00A24080">
                    <w:rPr>
                      <w:sz w:val="22"/>
                      <w:szCs w:val="22"/>
                      <w:lang w:val="ro-RO"/>
                    </w:rPr>
                    <w:t xml:space="preserve">capitolul </w:t>
                  </w:r>
                  <w:r w:rsidR="00826F88" w:rsidRPr="00A24080">
                    <w:rPr>
                      <w:sz w:val="22"/>
                      <w:szCs w:val="22"/>
                      <w:lang w:val="ro-RO"/>
                    </w:rPr>
                    <w:t xml:space="preserve">IV </w:t>
                  </w:r>
                  <w:r w:rsidRPr="00A24080">
                    <w:rPr>
                      <w:sz w:val="22"/>
                      <w:szCs w:val="22"/>
                      <w:lang w:val="ro-RO"/>
                    </w:rPr>
                    <w:t xml:space="preserve">din Regulamentul </w:t>
                  </w:r>
                  <w:r w:rsidR="00826F88" w:rsidRPr="00A24080">
                    <w:rPr>
                      <w:sz w:val="22"/>
                      <w:szCs w:val="22"/>
                      <w:lang w:val="ro-RO"/>
                    </w:rPr>
                    <w:t>nr.XX/2026</w:t>
                  </w:r>
                  <w:r w:rsidRPr="00A24080">
                    <w:rPr>
                      <w:sz w:val="22"/>
                      <w:szCs w:val="22"/>
                      <w:lang w:val="ro-RO"/>
                    </w:rPr>
                    <w:t>, sunt supuse unei cerințe de capital.</w:t>
                  </w:r>
                </w:p>
              </w:tc>
            </w:tr>
          </w:tbl>
          <w:p w14:paraId="5BE9CAFF" w14:textId="77777777" w:rsidR="00476413" w:rsidRPr="00A24080" w:rsidRDefault="00476413" w:rsidP="0028208B">
            <w:pPr>
              <w:ind w:right="90"/>
              <w:rPr>
                <w:sz w:val="22"/>
                <w:szCs w:val="22"/>
                <w:lang w:val="ro-RO"/>
              </w:rPr>
            </w:pPr>
          </w:p>
        </w:tc>
        <w:tc>
          <w:tcPr>
            <w:tcW w:w="1418" w:type="dxa"/>
          </w:tcPr>
          <w:p w14:paraId="331D6D4F" w14:textId="5910D50A"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AF72CEB" w14:textId="77777777" w:rsidR="00476413" w:rsidRPr="00A24080" w:rsidRDefault="00476413" w:rsidP="0028208B">
            <w:pPr>
              <w:jc w:val="both"/>
              <w:rPr>
                <w:bCs/>
                <w:sz w:val="22"/>
                <w:szCs w:val="22"/>
                <w:lang w:val="ro-RO"/>
              </w:rPr>
            </w:pPr>
          </w:p>
        </w:tc>
      </w:tr>
      <w:tr w:rsidR="000820CC" w:rsidRPr="00A24080" w14:paraId="683281F6"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6B47EB" w:rsidRPr="00EE7DB0" w14:paraId="65C71A88" w14:textId="77777777" w:rsidTr="003146FA">
              <w:tc>
                <w:tcPr>
                  <w:tcW w:w="774" w:type="dxa"/>
                </w:tcPr>
                <w:p w14:paraId="20A0AA00" w14:textId="0A378BB6" w:rsidR="006B47EB" w:rsidRPr="00A24080" w:rsidRDefault="006B47EB" w:rsidP="0028208B">
                  <w:pPr>
                    <w:framePr w:hSpace="180" w:wrap="around" w:vAnchor="text" w:hAnchor="text" w:x="-612" w:y="1"/>
                    <w:ind w:right="90"/>
                    <w:suppressOverlap/>
                    <w:jc w:val="both"/>
                    <w:rPr>
                      <w:sz w:val="22"/>
                      <w:szCs w:val="22"/>
                      <w:lang w:val="ro-RO"/>
                    </w:rPr>
                  </w:pPr>
                  <w:r w:rsidRPr="00A24080">
                    <w:rPr>
                      <w:sz w:val="22"/>
                      <w:szCs w:val="22"/>
                    </w:rPr>
                    <w:lastRenderedPageBreak/>
                    <w:t>0060</w:t>
                  </w:r>
                </w:p>
              </w:tc>
              <w:tc>
                <w:tcPr>
                  <w:tcW w:w="4143" w:type="dxa"/>
                </w:tcPr>
                <w:p w14:paraId="0FF781E3" w14:textId="77777777" w:rsidR="006B47EB" w:rsidRPr="00A24080" w:rsidRDefault="006B47EB"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4EA68848" w14:textId="253EA0DB" w:rsidR="006B47EB" w:rsidRPr="00A24080" w:rsidRDefault="006B47EB" w:rsidP="0028208B">
                  <w:pPr>
                    <w:framePr w:hSpace="180" w:wrap="around" w:vAnchor="text" w:hAnchor="text" w:x="-612" w:y="1"/>
                    <w:ind w:right="90"/>
                    <w:suppressOverlap/>
                    <w:jc w:val="both"/>
                    <w:rPr>
                      <w:sz w:val="22"/>
                      <w:szCs w:val="22"/>
                      <w:lang w:val="ro-RO"/>
                    </w:rPr>
                  </w:pPr>
                  <w:r w:rsidRPr="00A24080">
                    <w:rPr>
                      <w:sz w:val="22"/>
                      <w:szCs w:val="22"/>
                      <w:lang w:val="pt-BR"/>
                    </w:rPr>
                    <w:t>Cerința de fonduri proprii pentru orice poziție relevantă în conformitate cu partea a treia titlul IV capitolul 2 din Regulamentul (UE) nr. 575/2013, înainte de aplicarea factorilor de multiplicare prevăzuți la articolul 325 alineatul (2) litera (a) punctul (i) și litera (d) din regulamentul respectiv.</w:t>
                  </w:r>
                </w:p>
              </w:tc>
            </w:tr>
          </w:tbl>
          <w:p w14:paraId="2D749BB9" w14:textId="415AB12B" w:rsidR="000820CC" w:rsidRPr="00A24080" w:rsidRDefault="000820CC"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32270B1E" w14:textId="77777777" w:rsidTr="003146FA">
              <w:tc>
                <w:tcPr>
                  <w:tcW w:w="774" w:type="dxa"/>
                </w:tcPr>
                <w:p w14:paraId="0F55B561"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0060</w:t>
                  </w:r>
                </w:p>
              </w:tc>
              <w:tc>
                <w:tcPr>
                  <w:tcW w:w="4143" w:type="dxa"/>
                </w:tcPr>
                <w:p w14:paraId="661BF937" w14:textId="77777777" w:rsidR="00476413" w:rsidRPr="00A24080" w:rsidRDefault="0047641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5A34AEE9" w14:textId="3FCAA652"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pt-BR"/>
                    </w:rPr>
                    <w:t xml:space="preserve">Cerința de fonduri proprii pentru orice poziție relevantă în conformitate cu </w:t>
                  </w:r>
                  <w:r w:rsidR="00CF3A59" w:rsidRPr="00A24080">
                    <w:rPr>
                      <w:sz w:val="22"/>
                      <w:szCs w:val="22"/>
                      <w:lang w:val="pt-BR"/>
                    </w:rPr>
                    <w:t xml:space="preserve"> </w:t>
                  </w:r>
                  <w:r w:rsidRPr="00A24080">
                    <w:rPr>
                      <w:sz w:val="22"/>
                      <w:szCs w:val="22"/>
                      <w:lang w:val="pt-BR"/>
                    </w:rPr>
                    <w:t xml:space="preserve">titlul </w:t>
                  </w:r>
                  <w:r w:rsidR="00CF3A59" w:rsidRPr="00A24080">
                    <w:rPr>
                      <w:sz w:val="22"/>
                      <w:szCs w:val="22"/>
                      <w:lang w:val="pt-BR"/>
                    </w:rPr>
                    <w:t xml:space="preserve">II </w:t>
                  </w:r>
                  <w:r w:rsidRPr="00A24080">
                    <w:rPr>
                      <w:sz w:val="22"/>
                      <w:szCs w:val="22"/>
                      <w:lang w:val="pt-BR"/>
                    </w:rPr>
                    <w:t xml:space="preserve">capitolul </w:t>
                  </w:r>
                  <w:r w:rsidR="00CF3A59" w:rsidRPr="00A24080">
                    <w:rPr>
                      <w:sz w:val="22"/>
                      <w:szCs w:val="22"/>
                      <w:lang w:val="pt-BR"/>
                    </w:rPr>
                    <w:t>IV</w:t>
                  </w:r>
                  <w:r w:rsidRPr="00A24080">
                    <w:rPr>
                      <w:sz w:val="22"/>
                      <w:szCs w:val="22"/>
                      <w:lang w:val="pt-BR"/>
                    </w:rPr>
                    <w:t xml:space="preserve"> din Regulamentul </w:t>
                  </w:r>
                  <w:r w:rsidR="00CF3A59" w:rsidRPr="00A24080">
                    <w:rPr>
                      <w:sz w:val="22"/>
                      <w:szCs w:val="22"/>
                      <w:lang w:val="pt-BR"/>
                    </w:rPr>
                    <w:t>nr.XX/2026</w:t>
                  </w:r>
                  <w:r w:rsidRPr="00A24080">
                    <w:rPr>
                      <w:sz w:val="22"/>
                      <w:szCs w:val="22"/>
                      <w:lang w:val="pt-BR"/>
                    </w:rPr>
                    <w:t xml:space="preserve">, înainte de aplicarea factorilor de multiplicare prevăzuți la </w:t>
                  </w:r>
                  <w:r w:rsidR="00CF3A59" w:rsidRPr="00A24080">
                    <w:rPr>
                      <w:sz w:val="22"/>
                      <w:szCs w:val="22"/>
                      <w:lang w:val="pt-BR"/>
                    </w:rPr>
                    <w:t>subpct.71.1.1</w:t>
                  </w:r>
                  <w:r w:rsidRPr="00A24080">
                    <w:rPr>
                      <w:sz w:val="22"/>
                      <w:szCs w:val="22"/>
                      <w:lang w:val="pt-BR"/>
                    </w:rPr>
                    <w:t xml:space="preserve"> și </w:t>
                  </w:r>
                  <w:r w:rsidR="00132AF6" w:rsidRPr="00A24080">
                    <w:rPr>
                      <w:sz w:val="22"/>
                      <w:szCs w:val="22"/>
                      <w:lang w:val="pt-BR"/>
                    </w:rPr>
                    <w:t>71.4</w:t>
                  </w:r>
                  <w:r w:rsidRPr="00A24080">
                    <w:rPr>
                      <w:sz w:val="22"/>
                      <w:szCs w:val="22"/>
                      <w:lang w:val="pt-BR"/>
                    </w:rPr>
                    <w:t xml:space="preserve"> din regulamentul respectiv.</w:t>
                  </w:r>
                </w:p>
              </w:tc>
            </w:tr>
          </w:tbl>
          <w:p w14:paraId="6D86C319" w14:textId="77777777" w:rsidR="000820CC" w:rsidRPr="00A24080" w:rsidRDefault="000820CC" w:rsidP="0028208B">
            <w:pPr>
              <w:ind w:right="90"/>
              <w:rPr>
                <w:sz w:val="22"/>
                <w:szCs w:val="22"/>
                <w:lang w:val="ro-RO"/>
              </w:rPr>
            </w:pPr>
          </w:p>
        </w:tc>
        <w:tc>
          <w:tcPr>
            <w:tcW w:w="1418" w:type="dxa"/>
          </w:tcPr>
          <w:p w14:paraId="65F78D71" w14:textId="526822DB" w:rsidR="000820CC"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4FA0F86" w14:textId="77777777" w:rsidR="000820CC" w:rsidRPr="00A24080" w:rsidRDefault="000820CC" w:rsidP="0028208B">
            <w:pPr>
              <w:jc w:val="both"/>
              <w:rPr>
                <w:bCs/>
                <w:sz w:val="22"/>
                <w:szCs w:val="22"/>
                <w:lang w:val="ro-RO"/>
              </w:rPr>
            </w:pPr>
          </w:p>
        </w:tc>
      </w:tr>
      <w:tr w:rsidR="00476413" w:rsidRPr="00EE7DB0" w14:paraId="1445F385"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3472CBEC" w14:textId="77777777" w:rsidTr="003146FA">
              <w:tc>
                <w:tcPr>
                  <w:tcW w:w="774" w:type="dxa"/>
                </w:tcPr>
                <w:p w14:paraId="25DB91D9" w14:textId="39B0E67F"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0070</w:t>
                  </w:r>
                </w:p>
              </w:tc>
              <w:tc>
                <w:tcPr>
                  <w:tcW w:w="4143" w:type="dxa"/>
                </w:tcPr>
                <w:p w14:paraId="5287700D" w14:textId="77777777" w:rsidR="00476413" w:rsidRPr="00A24080" w:rsidRDefault="0047641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30E27B5D" w14:textId="77777777" w:rsidR="00476413" w:rsidRPr="00A24080" w:rsidRDefault="00476413" w:rsidP="0028208B">
                  <w:pPr>
                    <w:framePr w:hSpace="180" w:wrap="around" w:vAnchor="text" w:hAnchor="text" w:x="-612" w:y="1"/>
                    <w:suppressAutoHyphens/>
                    <w:suppressOverlap/>
                    <w:jc w:val="both"/>
                    <w:rPr>
                      <w:sz w:val="22"/>
                      <w:szCs w:val="22"/>
                      <w:lang w:val="it-IT"/>
                    </w:rPr>
                  </w:pPr>
                  <w:r w:rsidRPr="00A24080">
                    <w:rPr>
                      <w:sz w:val="22"/>
                      <w:szCs w:val="22"/>
                      <w:lang w:val="it-IT"/>
                    </w:rPr>
                    <w:t>Articolul 92 alineatul (4) litera (b) punctul (i) din Regulamentul (UE) nr. 575/2013.</w:t>
                  </w:r>
                </w:p>
                <w:p w14:paraId="7376ED19" w14:textId="7BA3740D"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it-IT"/>
                    </w:rPr>
                    <w:t xml:space="preserve">Rezultatul multiplicării cerinței de fonduri proprii cu 12,5 în conformitate cu articolul 92 alineatul (6) litera (b) din Regulamentul (UE) nr. 575/2013 și cu factorul de multiplicare aplicabil în conformitate cu articolul 325 alineatul (2) litera (a) punctul (i) și litera (d) din regulamentul respectiv. </w:t>
                  </w:r>
                </w:p>
              </w:tc>
            </w:tr>
          </w:tbl>
          <w:p w14:paraId="3287E78E" w14:textId="77777777"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6DD5268C" w14:textId="77777777" w:rsidTr="003146FA">
              <w:tc>
                <w:tcPr>
                  <w:tcW w:w="774" w:type="dxa"/>
                </w:tcPr>
                <w:p w14:paraId="55EEAA58"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0070</w:t>
                  </w:r>
                </w:p>
              </w:tc>
              <w:tc>
                <w:tcPr>
                  <w:tcW w:w="4143" w:type="dxa"/>
                </w:tcPr>
                <w:p w14:paraId="4009CEBB" w14:textId="77777777" w:rsidR="00476413" w:rsidRPr="00A24080" w:rsidRDefault="0047641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534CB0D4" w14:textId="3D1A0887" w:rsidR="00476413" w:rsidRPr="00A24080" w:rsidRDefault="009A773C" w:rsidP="0028208B">
                  <w:pPr>
                    <w:framePr w:hSpace="180" w:wrap="around" w:vAnchor="text" w:hAnchor="text" w:x="-612" w:y="1"/>
                    <w:suppressAutoHyphens/>
                    <w:suppressOverlap/>
                    <w:jc w:val="both"/>
                    <w:rPr>
                      <w:sz w:val="22"/>
                      <w:szCs w:val="22"/>
                      <w:lang w:val="en-US"/>
                    </w:rPr>
                  </w:pPr>
                  <w:r w:rsidRPr="00A24080">
                    <w:rPr>
                      <w:sz w:val="22"/>
                      <w:szCs w:val="22"/>
                      <w:lang w:val="en-US"/>
                    </w:rPr>
                    <w:t>Pct.132 subpct.1) din Regulamentul nr.109/2018</w:t>
                  </w:r>
                  <w:r w:rsidR="00476413" w:rsidRPr="00A24080">
                    <w:rPr>
                      <w:sz w:val="22"/>
                      <w:szCs w:val="22"/>
                      <w:lang w:val="en-US"/>
                    </w:rPr>
                    <w:t>.</w:t>
                  </w:r>
                </w:p>
                <w:p w14:paraId="40288723" w14:textId="1477529F"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en-US"/>
                    </w:rPr>
                    <w:t>Rezultatul multiplicării cerinței de fonduri proprii cu</w:t>
                  </w:r>
                  <w:r w:rsidR="004205A6" w:rsidRPr="00A24080">
                    <w:rPr>
                      <w:sz w:val="22"/>
                      <w:szCs w:val="22"/>
                      <w:lang w:val="en-US"/>
                    </w:rPr>
                    <w:t xml:space="preserve"> 10,0</w:t>
                  </w:r>
                  <w:r w:rsidRPr="00A24080">
                    <w:rPr>
                      <w:sz w:val="22"/>
                      <w:szCs w:val="22"/>
                      <w:lang w:val="en-US"/>
                    </w:rPr>
                    <w:t xml:space="preserve"> în conformitate cu </w:t>
                  </w:r>
                  <w:r w:rsidR="009A773C" w:rsidRPr="00A24080">
                    <w:rPr>
                      <w:sz w:val="22"/>
                      <w:szCs w:val="22"/>
                      <w:lang w:val="en-US"/>
                    </w:rPr>
                    <w:t>pct.133 subpct.2) din Regulamentul nr.109/2018</w:t>
                  </w:r>
                  <w:r w:rsidRPr="00A24080">
                    <w:rPr>
                      <w:sz w:val="22"/>
                      <w:szCs w:val="22"/>
                      <w:lang w:val="en-US"/>
                    </w:rPr>
                    <w:t xml:space="preserve"> și cu factorul de multiplicare aplicabil în conformitate cu </w:t>
                  </w:r>
                  <w:r w:rsidR="00634C24" w:rsidRPr="00A24080">
                    <w:rPr>
                      <w:sz w:val="22"/>
                      <w:szCs w:val="22"/>
                      <w:lang w:val="en-US"/>
                    </w:rPr>
                    <w:t>subpct.71.1.</w:t>
                  </w:r>
                  <w:proofErr w:type="gramStart"/>
                  <w:r w:rsidR="00634C24" w:rsidRPr="00A24080">
                    <w:rPr>
                      <w:sz w:val="22"/>
                      <w:szCs w:val="22"/>
                      <w:lang w:val="en-US"/>
                    </w:rPr>
                    <w:t xml:space="preserve">1 </w:t>
                  </w:r>
                  <w:r w:rsidRPr="00A24080">
                    <w:rPr>
                      <w:sz w:val="22"/>
                      <w:szCs w:val="22"/>
                      <w:lang w:val="en-US"/>
                    </w:rPr>
                    <w:t xml:space="preserve"> și</w:t>
                  </w:r>
                  <w:proofErr w:type="gramEnd"/>
                  <w:r w:rsidRPr="00A24080">
                    <w:rPr>
                      <w:sz w:val="22"/>
                      <w:szCs w:val="22"/>
                      <w:lang w:val="en-US"/>
                    </w:rPr>
                    <w:t xml:space="preserve"> </w:t>
                  </w:r>
                  <w:r w:rsidR="00634C24" w:rsidRPr="00A24080">
                    <w:rPr>
                      <w:sz w:val="22"/>
                      <w:szCs w:val="22"/>
                      <w:lang w:val="en-US"/>
                    </w:rPr>
                    <w:t xml:space="preserve">71.4 </w:t>
                  </w:r>
                  <w:r w:rsidRPr="00A24080">
                    <w:rPr>
                      <w:sz w:val="22"/>
                      <w:szCs w:val="22"/>
                      <w:lang w:val="en-US"/>
                    </w:rPr>
                    <w:t xml:space="preserve"> din </w:t>
                  </w:r>
                  <w:r w:rsidR="009A773C" w:rsidRPr="00A24080">
                    <w:rPr>
                      <w:sz w:val="22"/>
                      <w:szCs w:val="22"/>
                      <w:lang w:val="en-US"/>
                    </w:rPr>
                    <w:t>R</w:t>
                  </w:r>
                  <w:r w:rsidRPr="00A24080">
                    <w:rPr>
                      <w:sz w:val="22"/>
                      <w:szCs w:val="22"/>
                      <w:lang w:val="en-US"/>
                    </w:rPr>
                    <w:t xml:space="preserve">egulamentul </w:t>
                  </w:r>
                  <w:r w:rsidR="009A773C" w:rsidRPr="00A24080">
                    <w:rPr>
                      <w:sz w:val="22"/>
                      <w:szCs w:val="22"/>
                      <w:lang w:val="en-US"/>
                    </w:rPr>
                    <w:t>nr.XX/2026</w:t>
                  </w:r>
                  <w:r w:rsidRPr="00A24080">
                    <w:rPr>
                      <w:sz w:val="22"/>
                      <w:szCs w:val="22"/>
                      <w:lang w:val="en-US"/>
                    </w:rPr>
                    <w:t xml:space="preserve">. </w:t>
                  </w:r>
                </w:p>
              </w:tc>
            </w:tr>
          </w:tbl>
          <w:p w14:paraId="22CB0143" w14:textId="77777777" w:rsidR="00476413" w:rsidRPr="00A24080" w:rsidRDefault="00476413" w:rsidP="0028208B">
            <w:pPr>
              <w:ind w:right="90"/>
              <w:rPr>
                <w:sz w:val="22"/>
                <w:szCs w:val="22"/>
                <w:lang w:val="ro-RO"/>
              </w:rPr>
            </w:pPr>
          </w:p>
        </w:tc>
        <w:tc>
          <w:tcPr>
            <w:tcW w:w="1418" w:type="dxa"/>
          </w:tcPr>
          <w:p w14:paraId="60FC368A" w14:textId="7D5F9C87"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DF0FBAF" w14:textId="77777777" w:rsidR="00A754B2" w:rsidRPr="00A24080" w:rsidRDefault="00A754B2" w:rsidP="0028208B">
            <w:pPr>
              <w:jc w:val="both"/>
              <w:rPr>
                <w:sz w:val="22"/>
                <w:szCs w:val="22"/>
                <w:lang w:val="ro-MD"/>
              </w:rPr>
            </w:pPr>
            <w:r w:rsidRPr="00A24080">
              <w:rPr>
                <w:sz w:val="22"/>
                <w:szCs w:val="22"/>
                <w:lang w:val="ro-RO"/>
              </w:rPr>
              <w:t>Până la data intrării în vigoare a Tratatului de aderare a Republicii Moldova la Uniunea Europeană în scopul calculului cuantumului expunerii la risc se aplică multiplicatorul cerințelor de fonduri proprii 10,0 (conform prevederilor Regulamentului nr.109/2018).</w:t>
            </w:r>
            <w:r w:rsidRPr="00A24080">
              <w:rPr>
                <w:rFonts w:eastAsiaTheme="minorHAnsi" w:cstheme="minorBidi"/>
                <w:kern w:val="2"/>
                <w:sz w:val="22"/>
                <w:szCs w:val="22"/>
                <w:lang w:val="ro-RO" w:eastAsia="en-US"/>
              </w:rPr>
              <w:t xml:space="preserve"> </w:t>
            </w:r>
            <w:r w:rsidRPr="00A24080">
              <w:rPr>
                <w:sz w:val="22"/>
                <w:szCs w:val="22"/>
                <w:lang w:val="ro-RO"/>
              </w:rPr>
              <w:t>De la data intrării în vigoare a Tratatului de aderare a Republicii Moldova la Uniunea Europeană băncile vor multiplica cerințele de fonduri proprii cu 12,5.</w:t>
            </w:r>
          </w:p>
          <w:p w14:paraId="46C525BF" w14:textId="77777777" w:rsidR="00476413" w:rsidRPr="00A24080" w:rsidRDefault="00476413" w:rsidP="0028208B">
            <w:pPr>
              <w:jc w:val="both"/>
              <w:rPr>
                <w:bCs/>
                <w:sz w:val="22"/>
                <w:szCs w:val="22"/>
                <w:lang w:val="ro-MD"/>
              </w:rPr>
            </w:pPr>
          </w:p>
        </w:tc>
      </w:tr>
      <w:tr w:rsidR="00476413" w:rsidRPr="00A24080" w14:paraId="0A1277B6"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8161FF" w:rsidRPr="00A24080" w14:paraId="715B8C68" w14:textId="77777777" w:rsidTr="00A24080">
              <w:tc>
                <w:tcPr>
                  <w:tcW w:w="7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49BC0" w14:textId="3B2325CE" w:rsidR="008161FF" w:rsidRPr="00A24080" w:rsidRDefault="008161FF" w:rsidP="0028208B">
                  <w:pPr>
                    <w:framePr w:hSpace="180" w:wrap="around" w:vAnchor="text" w:hAnchor="text" w:x="-612" w:y="1"/>
                    <w:ind w:right="90"/>
                    <w:suppressOverlap/>
                    <w:jc w:val="both"/>
                    <w:rPr>
                      <w:sz w:val="22"/>
                      <w:szCs w:val="22"/>
                    </w:rPr>
                  </w:pPr>
                  <w:r w:rsidRPr="00A24080">
                    <w:rPr>
                      <w:b/>
                      <w:sz w:val="22"/>
                      <w:szCs w:val="22"/>
                    </w:rPr>
                    <w:t>Rânduri</w:t>
                  </w:r>
                </w:p>
              </w:tc>
              <w:tc>
                <w:tcPr>
                  <w:tcW w:w="41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D7FEEC" w14:textId="4E6E1957" w:rsidR="008161FF" w:rsidRPr="00A24080" w:rsidRDefault="008161FF" w:rsidP="0028208B">
                  <w:pPr>
                    <w:framePr w:hSpace="180" w:wrap="around" w:vAnchor="text" w:hAnchor="text" w:x="-612" w:y="1"/>
                    <w:suppressAutoHyphens/>
                    <w:autoSpaceDE w:val="0"/>
                    <w:autoSpaceDN w:val="0"/>
                    <w:adjustRightInd w:val="0"/>
                    <w:suppressOverlap/>
                    <w:jc w:val="both"/>
                    <w:rPr>
                      <w:b/>
                      <w:sz w:val="22"/>
                      <w:szCs w:val="22"/>
                      <w:u w:val="single"/>
                      <w:lang w:val="it-IT"/>
                    </w:rPr>
                  </w:pPr>
                  <w:r w:rsidRPr="00A24080">
                    <w:rPr>
                      <w:b/>
                      <w:sz w:val="22"/>
                      <w:szCs w:val="22"/>
                    </w:rPr>
                    <w:t>Referințe juridice și instrucțiuni</w:t>
                  </w:r>
                </w:p>
              </w:tc>
            </w:tr>
            <w:tr w:rsidR="008161FF" w:rsidRPr="00EE7DB0" w14:paraId="67178865" w14:textId="77777777" w:rsidTr="003146FA">
              <w:tc>
                <w:tcPr>
                  <w:tcW w:w="774" w:type="dxa"/>
                </w:tcPr>
                <w:p w14:paraId="39EC894E" w14:textId="702F67A4" w:rsidR="008161FF" w:rsidRPr="00A24080" w:rsidRDefault="008161FF" w:rsidP="0028208B">
                  <w:pPr>
                    <w:framePr w:hSpace="180" w:wrap="around" w:vAnchor="text" w:hAnchor="text" w:x="-612" w:y="1"/>
                    <w:ind w:right="90"/>
                    <w:suppressOverlap/>
                    <w:jc w:val="both"/>
                    <w:rPr>
                      <w:sz w:val="22"/>
                      <w:szCs w:val="22"/>
                      <w:lang w:val="ro-RO"/>
                    </w:rPr>
                  </w:pPr>
                  <w:r w:rsidRPr="00A24080">
                    <w:rPr>
                      <w:sz w:val="22"/>
                      <w:szCs w:val="22"/>
                    </w:rPr>
                    <w:t>0010-0350</w:t>
                  </w:r>
                </w:p>
              </w:tc>
              <w:tc>
                <w:tcPr>
                  <w:tcW w:w="4143" w:type="dxa"/>
                </w:tcPr>
                <w:p w14:paraId="65A7E30E" w14:textId="77777777" w:rsidR="008161FF" w:rsidRPr="00A24080" w:rsidRDefault="008161FF"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INSTRUMENTE DE DATORIE TRANZACȚIONATE DIN PORTOFOLIUL DE TRANZACȚIONARE</w:t>
                  </w:r>
                </w:p>
                <w:p w14:paraId="425C3985" w14:textId="74BE8040" w:rsidR="008161FF" w:rsidRPr="00A24080" w:rsidRDefault="008161FF" w:rsidP="0028208B">
                  <w:pPr>
                    <w:framePr w:hSpace="180" w:wrap="around" w:vAnchor="text" w:hAnchor="text" w:x="-612" w:y="1"/>
                    <w:ind w:right="90"/>
                    <w:suppressOverlap/>
                    <w:jc w:val="both"/>
                    <w:rPr>
                      <w:sz w:val="22"/>
                      <w:szCs w:val="22"/>
                      <w:lang w:val="ro-RO"/>
                    </w:rPr>
                  </w:pPr>
                  <w:r w:rsidRPr="00A24080">
                    <w:rPr>
                      <w:sz w:val="22"/>
                      <w:szCs w:val="22"/>
                      <w:lang w:val="it-IT"/>
                    </w:rPr>
                    <w:t xml:space="preserve">Pozițiile pe instrumente de datorie tranzacționate din portofoliul de tranzacționare și cerințele de fonduri proprii pentru riscul de poziție corespunzătoare acestora în conformitate cu articolul 92 </w:t>
                  </w:r>
                  <w:r w:rsidRPr="00A24080">
                    <w:rPr>
                      <w:sz w:val="22"/>
                      <w:szCs w:val="22"/>
                      <w:lang w:val="it-IT"/>
                    </w:rPr>
                    <w:lastRenderedPageBreak/>
                    <w:t>alineatul (4) litera (b) punctul (i) din Regulamentul (UE) nr. 575/2013 și cu partea a treia titlul IV capitolul 2 din Regulamentul (UE) nr. 575/2013 se raportează în funcție de categoria de risc, de scadență și de abordarea utilizată.</w:t>
                  </w:r>
                </w:p>
              </w:tc>
            </w:tr>
          </w:tbl>
          <w:p w14:paraId="790CCD18" w14:textId="77777777" w:rsidR="00476413" w:rsidRPr="00A24080" w:rsidRDefault="00476413" w:rsidP="0028208B">
            <w:pPr>
              <w:ind w:right="90"/>
              <w:jc w:val="both"/>
              <w:rPr>
                <w:sz w:val="22"/>
                <w:szCs w:val="22"/>
                <w:lang w:val="ro-RO"/>
              </w:rPr>
            </w:pPr>
          </w:p>
        </w:tc>
        <w:tc>
          <w:tcPr>
            <w:tcW w:w="5103" w:type="dxa"/>
          </w:tcPr>
          <w:tbl>
            <w:tblPr>
              <w:tblStyle w:val="TableGrid"/>
              <w:tblW w:w="4917" w:type="dxa"/>
              <w:tblLayout w:type="fixed"/>
              <w:tblLook w:val="04A0" w:firstRow="1" w:lastRow="0" w:firstColumn="1" w:lastColumn="0" w:noHBand="0" w:noVBand="1"/>
            </w:tblPr>
            <w:tblGrid>
              <w:gridCol w:w="774"/>
              <w:gridCol w:w="4143"/>
            </w:tblGrid>
            <w:tr w:rsidR="008161FF" w:rsidRPr="00A24080" w14:paraId="283CB128" w14:textId="77777777" w:rsidTr="00A24080">
              <w:trPr>
                <w:trHeight w:val="725"/>
              </w:trPr>
              <w:tc>
                <w:tcPr>
                  <w:tcW w:w="7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96DAFFD" w14:textId="47750AA0" w:rsidR="008161FF" w:rsidRPr="00A24080" w:rsidRDefault="008161FF" w:rsidP="0028208B">
                  <w:pPr>
                    <w:framePr w:hSpace="180" w:wrap="around" w:vAnchor="text" w:hAnchor="text" w:x="-612" w:y="1"/>
                    <w:ind w:right="90"/>
                    <w:suppressOverlap/>
                    <w:jc w:val="both"/>
                    <w:rPr>
                      <w:sz w:val="22"/>
                      <w:szCs w:val="22"/>
                    </w:rPr>
                  </w:pPr>
                  <w:r w:rsidRPr="00A24080">
                    <w:rPr>
                      <w:b/>
                      <w:sz w:val="22"/>
                      <w:szCs w:val="22"/>
                    </w:rPr>
                    <w:lastRenderedPageBreak/>
                    <w:t>Rânduri</w:t>
                  </w:r>
                </w:p>
              </w:tc>
              <w:tc>
                <w:tcPr>
                  <w:tcW w:w="41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0055939" w14:textId="7025743D" w:rsidR="008161FF" w:rsidRPr="00A24080" w:rsidRDefault="008161FF" w:rsidP="0028208B">
                  <w:pPr>
                    <w:framePr w:hSpace="180" w:wrap="around" w:vAnchor="text" w:hAnchor="text" w:x="-612" w:y="1"/>
                    <w:suppressAutoHyphens/>
                    <w:autoSpaceDE w:val="0"/>
                    <w:autoSpaceDN w:val="0"/>
                    <w:adjustRightInd w:val="0"/>
                    <w:suppressOverlap/>
                    <w:jc w:val="both"/>
                    <w:rPr>
                      <w:b/>
                      <w:sz w:val="22"/>
                      <w:szCs w:val="22"/>
                      <w:u w:val="single"/>
                      <w:lang w:val="it-IT"/>
                    </w:rPr>
                  </w:pPr>
                  <w:r w:rsidRPr="00A24080">
                    <w:rPr>
                      <w:b/>
                      <w:sz w:val="22"/>
                      <w:szCs w:val="22"/>
                    </w:rPr>
                    <w:t>Referințe juridice și instrucțiuni</w:t>
                  </w:r>
                </w:p>
              </w:tc>
            </w:tr>
            <w:tr w:rsidR="008161FF" w:rsidRPr="00EE7DB0" w14:paraId="7B12F251" w14:textId="77777777" w:rsidTr="008161FF">
              <w:tc>
                <w:tcPr>
                  <w:tcW w:w="774" w:type="dxa"/>
                </w:tcPr>
                <w:p w14:paraId="2534CB16" w14:textId="77777777" w:rsidR="008161FF" w:rsidRPr="00A24080" w:rsidRDefault="008161FF" w:rsidP="0028208B">
                  <w:pPr>
                    <w:framePr w:hSpace="180" w:wrap="around" w:vAnchor="text" w:hAnchor="text" w:x="-612" w:y="1"/>
                    <w:ind w:right="90"/>
                    <w:suppressOverlap/>
                    <w:jc w:val="both"/>
                    <w:rPr>
                      <w:sz w:val="22"/>
                      <w:szCs w:val="22"/>
                      <w:lang w:val="ro-RO"/>
                    </w:rPr>
                  </w:pPr>
                  <w:r w:rsidRPr="00A24080">
                    <w:rPr>
                      <w:sz w:val="22"/>
                      <w:szCs w:val="22"/>
                    </w:rPr>
                    <w:t>0010-0350</w:t>
                  </w:r>
                </w:p>
              </w:tc>
              <w:tc>
                <w:tcPr>
                  <w:tcW w:w="4143" w:type="dxa"/>
                </w:tcPr>
                <w:p w14:paraId="755FD924" w14:textId="77777777" w:rsidR="008161FF" w:rsidRPr="00A24080" w:rsidRDefault="008161FF"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INSTRUMENTE DE DATORIE TRANZACȚIONATE DIN PORTOFOLIUL DE TRANZACȚIONARE</w:t>
                  </w:r>
                </w:p>
                <w:p w14:paraId="791A2539" w14:textId="609C0348" w:rsidR="008161FF" w:rsidRPr="00A24080" w:rsidRDefault="008161FF" w:rsidP="0028208B">
                  <w:pPr>
                    <w:framePr w:hSpace="180" w:wrap="around" w:vAnchor="text" w:hAnchor="text" w:x="-612" w:y="1"/>
                    <w:ind w:right="90"/>
                    <w:suppressOverlap/>
                    <w:jc w:val="both"/>
                    <w:rPr>
                      <w:sz w:val="22"/>
                      <w:szCs w:val="22"/>
                      <w:lang w:val="ro-RO"/>
                    </w:rPr>
                  </w:pPr>
                  <w:r w:rsidRPr="00A24080">
                    <w:rPr>
                      <w:sz w:val="22"/>
                      <w:szCs w:val="22"/>
                      <w:lang w:val="it-IT"/>
                    </w:rPr>
                    <w:t xml:space="preserve">Pozițiile pe instrumente de datorie tranzacționate din portofoliul de tranzacționare și cerințele de fonduri proprii pentru riscul de poziție corespunzătoare </w:t>
                  </w:r>
                  <w:r w:rsidRPr="00A24080">
                    <w:rPr>
                      <w:sz w:val="22"/>
                      <w:szCs w:val="22"/>
                      <w:lang w:val="it-IT"/>
                    </w:rPr>
                    <w:lastRenderedPageBreak/>
                    <w:t>acestora în conformitate cu pct.132 subpct.1) din Regulamentul nr.109/2018 și cu titlul II capitolul IV din Regulamentul nr.XX/2026 se raportează în funcție de categoria de risc, de scadență și de abordarea utilizată.</w:t>
                  </w:r>
                </w:p>
              </w:tc>
            </w:tr>
          </w:tbl>
          <w:p w14:paraId="7B251B0F" w14:textId="77777777" w:rsidR="00476413" w:rsidRPr="00A24080" w:rsidRDefault="00476413" w:rsidP="0028208B">
            <w:pPr>
              <w:ind w:right="90"/>
              <w:rPr>
                <w:sz w:val="22"/>
                <w:szCs w:val="22"/>
                <w:lang w:val="ro-RO"/>
              </w:rPr>
            </w:pPr>
          </w:p>
        </w:tc>
        <w:tc>
          <w:tcPr>
            <w:tcW w:w="1418" w:type="dxa"/>
          </w:tcPr>
          <w:p w14:paraId="598C0CB4" w14:textId="17306AA9" w:rsidR="00476413" w:rsidRPr="00A24080" w:rsidRDefault="006F5B8B"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6CD031C6" w14:textId="77777777" w:rsidR="00476413" w:rsidRPr="00A24080" w:rsidRDefault="00476413" w:rsidP="0028208B">
            <w:pPr>
              <w:jc w:val="both"/>
              <w:rPr>
                <w:bCs/>
                <w:sz w:val="22"/>
                <w:szCs w:val="22"/>
                <w:lang w:val="ro-RO"/>
              </w:rPr>
            </w:pPr>
          </w:p>
        </w:tc>
      </w:tr>
      <w:tr w:rsidR="00476413" w:rsidRPr="00A24080" w14:paraId="4CD939A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A24080" w14:paraId="2A18EBCC" w14:textId="77777777" w:rsidTr="003146FA">
              <w:tc>
                <w:tcPr>
                  <w:tcW w:w="774" w:type="dxa"/>
                </w:tcPr>
                <w:p w14:paraId="0CD865CF" w14:textId="556122D6"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0011</w:t>
                  </w:r>
                </w:p>
              </w:tc>
              <w:tc>
                <w:tcPr>
                  <w:tcW w:w="4143" w:type="dxa"/>
                </w:tcPr>
                <w:p w14:paraId="64C664E1" w14:textId="0A825612" w:rsidR="00476413" w:rsidRPr="00A24080" w:rsidRDefault="00476413" w:rsidP="0028208B">
                  <w:pPr>
                    <w:framePr w:hSpace="180" w:wrap="around" w:vAnchor="text" w:hAnchor="text" w:x="-612" w:y="1"/>
                    <w:ind w:right="90"/>
                    <w:suppressOverlap/>
                    <w:jc w:val="both"/>
                    <w:rPr>
                      <w:sz w:val="22"/>
                      <w:szCs w:val="22"/>
                      <w:lang w:val="ro-RO"/>
                    </w:rPr>
                  </w:pPr>
                  <w:r w:rsidRPr="00A24080">
                    <w:rPr>
                      <w:b/>
                      <w:sz w:val="22"/>
                      <w:szCs w:val="22"/>
                      <w:u w:val="single"/>
                    </w:rPr>
                    <w:t xml:space="preserve">RISC GENERAL. </w:t>
                  </w:r>
                </w:p>
              </w:tc>
            </w:tr>
          </w:tbl>
          <w:p w14:paraId="5AA7E678" w14:textId="77777777"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A24080" w14:paraId="17988FEF" w14:textId="77777777" w:rsidTr="003146FA">
              <w:tc>
                <w:tcPr>
                  <w:tcW w:w="774" w:type="dxa"/>
                </w:tcPr>
                <w:p w14:paraId="3944FE69"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0011</w:t>
                  </w:r>
                </w:p>
              </w:tc>
              <w:tc>
                <w:tcPr>
                  <w:tcW w:w="4143" w:type="dxa"/>
                </w:tcPr>
                <w:p w14:paraId="26E0C2A9"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b/>
                      <w:sz w:val="22"/>
                      <w:szCs w:val="22"/>
                      <w:u w:val="single"/>
                    </w:rPr>
                    <w:t xml:space="preserve">RISC GENERAL. </w:t>
                  </w:r>
                </w:p>
              </w:tc>
            </w:tr>
          </w:tbl>
          <w:p w14:paraId="764182E6" w14:textId="77777777" w:rsidR="00476413" w:rsidRPr="00A24080" w:rsidRDefault="00476413" w:rsidP="0028208B">
            <w:pPr>
              <w:ind w:right="90"/>
              <w:rPr>
                <w:sz w:val="22"/>
                <w:szCs w:val="22"/>
                <w:lang w:val="ro-RO"/>
              </w:rPr>
            </w:pPr>
          </w:p>
        </w:tc>
        <w:tc>
          <w:tcPr>
            <w:tcW w:w="1418" w:type="dxa"/>
          </w:tcPr>
          <w:p w14:paraId="4A47B4AE" w14:textId="4187FDBF"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BEB4C41" w14:textId="77777777" w:rsidR="00476413" w:rsidRPr="00A24080" w:rsidRDefault="00476413" w:rsidP="0028208B">
            <w:pPr>
              <w:jc w:val="both"/>
              <w:rPr>
                <w:bCs/>
                <w:sz w:val="22"/>
                <w:szCs w:val="22"/>
                <w:lang w:val="ro-RO"/>
              </w:rPr>
            </w:pPr>
          </w:p>
        </w:tc>
      </w:tr>
      <w:tr w:rsidR="00476413" w:rsidRPr="00A24080" w14:paraId="3E4C0A41"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56BF5852" w14:textId="77777777" w:rsidTr="003146FA">
              <w:tc>
                <w:tcPr>
                  <w:tcW w:w="774" w:type="dxa"/>
                </w:tcPr>
                <w:p w14:paraId="191AC5B5" w14:textId="1FBE8F7E"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0012</w:t>
                  </w:r>
                </w:p>
              </w:tc>
              <w:tc>
                <w:tcPr>
                  <w:tcW w:w="4143" w:type="dxa"/>
                </w:tcPr>
                <w:p w14:paraId="6C93A671" w14:textId="77777777" w:rsidR="00476413" w:rsidRPr="00A24080" w:rsidRDefault="00476413"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b/>
                      <w:sz w:val="22"/>
                      <w:szCs w:val="22"/>
                      <w:u w:val="single"/>
                      <w:lang w:val="ro-RO"/>
                    </w:rPr>
                    <w:t>Instrumente financiare derivate</w:t>
                  </w:r>
                </w:p>
                <w:p w14:paraId="331F6701" w14:textId="77653CCD"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Instrumentele financiare derivate incluse în calculul riscului de rată a dobânzii pentru pozițiile din portofoliul de tranzacționare, ținând cont de articolele 328-331 din Regulamentul (UE) nr. 575/2013, dacă este cazul.</w:t>
                  </w:r>
                </w:p>
              </w:tc>
            </w:tr>
          </w:tbl>
          <w:p w14:paraId="6A3C5893" w14:textId="62DD3E8B"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675856EC" w14:textId="77777777" w:rsidTr="003146FA">
              <w:tc>
                <w:tcPr>
                  <w:tcW w:w="774" w:type="dxa"/>
                </w:tcPr>
                <w:p w14:paraId="52D682B0"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0012</w:t>
                  </w:r>
                </w:p>
              </w:tc>
              <w:tc>
                <w:tcPr>
                  <w:tcW w:w="4143" w:type="dxa"/>
                </w:tcPr>
                <w:p w14:paraId="0A6082FE" w14:textId="77777777" w:rsidR="00476413" w:rsidRPr="00A24080" w:rsidRDefault="00476413"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b/>
                      <w:sz w:val="22"/>
                      <w:szCs w:val="22"/>
                      <w:u w:val="single"/>
                      <w:lang w:val="ro-RO"/>
                    </w:rPr>
                    <w:t>Instrumente financiare derivate</w:t>
                  </w:r>
                </w:p>
                <w:p w14:paraId="338DF0B6" w14:textId="5C36C2B6"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 xml:space="preserve">Instrumentele financiare derivate incluse în calculul riscului de rată a dobânzii pentru pozițiile din portofoliul de tranzacționare, ținând cont de </w:t>
                  </w:r>
                  <w:r w:rsidR="006F5B8B" w:rsidRPr="00A24080">
                    <w:rPr>
                      <w:sz w:val="22"/>
                      <w:szCs w:val="22"/>
                      <w:lang w:val="ro-RO"/>
                    </w:rPr>
                    <w:t>titlul II capitolul IV secțiunea 1 subsecțiunile 3-6 din Regulamentul nr.XX/2026</w:t>
                  </w:r>
                  <w:r w:rsidRPr="00A24080">
                    <w:rPr>
                      <w:sz w:val="22"/>
                      <w:szCs w:val="22"/>
                      <w:lang w:val="ro-RO"/>
                    </w:rPr>
                    <w:t>, dacă este cazul.</w:t>
                  </w:r>
                </w:p>
              </w:tc>
            </w:tr>
          </w:tbl>
          <w:p w14:paraId="281EE53B" w14:textId="77777777" w:rsidR="00476413" w:rsidRPr="00A24080" w:rsidRDefault="00476413" w:rsidP="0028208B">
            <w:pPr>
              <w:ind w:right="90"/>
              <w:rPr>
                <w:sz w:val="22"/>
                <w:szCs w:val="22"/>
                <w:lang w:val="ro-RO"/>
              </w:rPr>
            </w:pPr>
          </w:p>
        </w:tc>
        <w:tc>
          <w:tcPr>
            <w:tcW w:w="1418" w:type="dxa"/>
          </w:tcPr>
          <w:p w14:paraId="444CDC81" w14:textId="2A228FB9"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3B4130F" w14:textId="77777777" w:rsidR="00476413" w:rsidRPr="00A24080" w:rsidRDefault="00476413" w:rsidP="0028208B">
            <w:pPr>
              <w:jc w:val="both"/>
              <w:rPr>
                <w:bCs/>
                <w:sz w:val="22"/>
                <w:szCs w:val="22"/>
                <w:lang w:val="ro-RO"/>
              </w:rPr>
            </w:pPr>
          </w:p>
        </w:tc>
      </w:tr>
      <w:tr w:rsidR="00476413" w:rsidRPr="00A24080" w14:paraId="6BD277D1"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20680085" w14:textId="77777777" w:rsidTr="003146FA">
              <w:tc>
                <w:tcPr>
                  <w:tcW w:w="774" w:type="dxa"/>
                </w:tcPr>
                <w:p w14:paraId="05AC1C28" w14:textId="070E2E0F"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0013</w:t>
                  </w:r>
                </w:p>
              </w:tc>
              <w:tc>
                <w:tcPr>
                  <w:tcW w:w="4143" w:type="dxa"/>
                </w:tcPr>
                <w:p w14:paraId="4609AAE0"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Alte active și datorii</w:t>
                  </w:r>
                </w:p>
                <w:p w14:paraId="36C0E041" w14:textId="7BED1A6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 xml:space="preserve">Alte instrumente decât instrumentele financiare derivate incluse în calculul riscului de rată a dobânzii pentru pozițiile din portofoliul de tranzacționare. </w:t>
                  </w:r>
                </w:p>
              </w:tc>
            </w:tr>
          </w:tbl>
          <w:p w14:paraId="735B5411" w14:textId="50B58487"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61276608" w14:textId="77777777" w:rsidTr="003146FA">
              <w:tc>
                <w:tcPr>
                  <w:tcW w:w="774" w:type="dxa"/>
                </w:tcPr>
                <w:p w14:paraId="430B8FA6"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0013</w:t>
                  </w:r>
                </w:p>
              </w:tc>
              <w:tc>
                <w:tcPr>
                  <w:tcW w:w="4143" w:type="dxa"/>
                </w:tcPr>
                <w:p w14:paraId="2D92AD12"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Alte active și datorii</w:t>
                  </w:r>
                </w:p>
                <w:p w14:paraId="6F06563D"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 xml:space="preserve">Alte instrumente decât instrumentele financiare derivate incluse în calculul riscului de rată a dobânzii pentru pozițiile din portofoliul de tranzacționare. </w:t>
                  </w:r>
                </w:p>
              </w:tc>
            </w:tr>
          </w:tbl>
          <w:p w14:paraId="11B50405" w14:textId="77777777" w:rsidR="00476413" w:rsidRPr="00A24080" w:rsidRDefault="00476413" w:rsidP="0028208B">
            <w:pPr>
              <w:ind w:right="90"/>
              <w:rPr>
                <w:sz w:val="22"/>
                <w:szCs w:val="22"/>
                <w:lang w:val="ro-RO"/>
              </w:rPr>
            </w:pPr>
          </w:p>
        </w:tc>
        <w:tc>
          <w:tcPr>
            <w:tcW w:w="1418" w:type="dxa"/>
          </w:tcPr>
          <w:p w14:paraId="6867E066" w14:textId="7B81D496"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41885D0" w14:textId="77777777" w:rsidR="00476413" w:rsidRPr="00A24080" w:rsidRDefault="00476413" w:rsidP="0028208B">
            <w:pPr>
              <w:jc w:val="both"/>
              <w:rPr>
                <w:bCs/>
                <w:sz w:val="22"/>
                <w:szCs w:val="22"/>
                <w:lang w:val="ro-RO"/>
              </w:rPr>
            </w:pPr>
          </w:p>
        </w:tc>
      </w:tr>
      <w:tr w:rsidR="00476413" w:rsidRPr="00A24080" w14:paraId="1014A34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A24080" w14:paraId="25359967" w14:textId="77777777" w:rsidTr="003146FA">
              <w:tc>
                <w:tcPr>
                  <w:tcW w:w="774" w:type="dxa"/>
                </w:tcPr>
                <w:p w14:paraId="50E8BF2A" w14:textId="226AF5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0020-0200</w:t>
                  </w:r>
                </w:p>
              </w:tc>
              <w:tc>
                <w:tcPr>
                  <w:tcW w:w="4143" w:type="dxa"/>
                </w:tcPr>
                <w:p w14:paraId="7C5797CA"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ABORDAREA PE BAZA SCADENȚEI</w:t>
                  </w:r>
                </w:p>
                <w:p w14:paraId="0BFA87BA" w14:textId="47671E1D"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 xml:space="preserve">Pozițiile pe instrumente de datorie tranzacționate cărora li se aplică abordarea pe baza scadenței menționată la articolul 339 alineatele (1)-(8) din Regulamentul (UE) nr. 575/2013 și cerințele de fonduri proprii corespunzătoare calculate în conformitate cu articolul 339 alineatul (9) din Regulamentul (UE) nr. 575/2013. </w:t>
                  </w:r>
                  <w:r w:rsidRPr="00A24080">
                    <w:rPr>
                      <w:sz w:val="22"/>
                      <w:szCs w:val="22"/>
                    </w:rPr>
                    <w:t>Poziția este defalcată pe zonele 1, 2 și 3, iar aceste zone sunt defalcate, la rândul lor, în funcție de scadența instrumentelor.</w:t>
                  </w:r>
                </w:p>
              </w:tc>
            </w:tr>
          </w:tbl>
          <w:p w14:paraId="33A14E48" w14:textId="3F81F0FA"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A24080" w14:paraId="40F840B5" w14:textId="77777777" w:rsidTr="003146FA">
              <w:tc>
                <w:tcPr>
                  <w:tcW w:w="774" w:type="dxa"/>
                </w:tcPr>
                <w:p w14:paraId="3F82351F"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0020-0200</w:t>
                  </w:r>
                </w:p>
              </w:tc>
              <w:tc>
                <w:tcPr>
                  <w:tcW w:w="4143" w:type="dxa"/>
                </w:tcPr>
                <w:p w14:paraId="013CB58A"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ABORDAREA PE BAZA SCADENȚEI</w:t>
                  </w:r>
                </w:p>
                <w:p w14:paraId="110D295B" w14:textId="4D375F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 xml:space="preserve">Pozițiile pe instrumente de datorie tranzacționate cărora li se aplică abordarea pe baza scadenței menționată la </w:t>
                  </w:r>
                  <w:r w:rsidR="009064E0" w:rsidRPr="00A24080">
                    <w:rPr>
                      <w:sz w:val="22"/>
                      <w:szCs w:val="22"/>
                      <w:lang w:val="ro-RO"/>
                    </w:rPr>
                    <w:t>pct.</w:t>
                  </w:r>
                  <w:r w:rsidR="006F5B8B" w:rsidRPr="00A24080">
                    <w:rPr>
                      <w:sz w:val="22"/>
                      <w:szCs w:val="22"/>
                      <w:lang w:val="ro-RO"/>
                    </w:rPr>
                    <w:t>449-456</w:t>
                  </w:r>
                  <w:r w:rsidRPr="00A24080">
                    <w:rPr>
                      <w:sz w:val="22"/>
                      <w:szCs w:val="22"/>
                      <w:lang w:val="ro-RO"/>
                    </w:rPr>
                    <w:t xml:space="preserve"> din Regulamentul </w:t>
                  </w:r>
                  <w:r w:rsidR="006F5B8B" w:rsidRPr="00A24080">
                    <w:rPr>
                      <w:sz w:val="22"/>
                      <w:szCs w:val="22"/>
                      <w:lang w:val="ro-RO"/>
                    </w:rPr>
                    <w:t>nr.XX/2026</w:t>
                  </w:r>
                  <w:r w:rsidRPr="00A24080">
                    <w:rPr>
                      <w:sz w:val="22"/>
                      <w:szCs w:val="22"/>
                      <w:lang w:val="ro-RO"/>
                    </w:rPr>
                    <w:t xml:space="preserve"> și cerințele de fonduri proprii corespunzătoare calculate în conformitate cu </w:t>
                  </w:r>
                  <w:r w:rsidR="006F5B8B" w:rsidRPr="00A24080">
                    <w:rPr>
                      <w:sz w:val="22"/>
                      <w:szCs w:val="22"/>
                      <w:lang w:val="ro-RO"/>
                    </w:rPr>
                    <w:t>pct.457 din respectivul regulament</w:t>
                  </w:r>
                  <w:r w:rsidRPr="00A24080">
                    <w:rPr>
                      <w:sz w:val="22"/>
                      <w:szCs w:val="22"/>
                      <w:lang w:val="ro-RO"/>
                    </w:rPr>
                    <w:t>. Poziția este defalcată pe zonele 1, 2 și 3, iar aceste zone sunt defalcate, la rândul lor, în funcție de scadența instrumentelor.</w:t>
                  </w:r>
                </w:p>
              </w:tc>
            </w:tr>
          </w:tbl>
          <w:p w14:paraId="4E44E76A" w14:textId="77777777" w:rsidR="00476413" w:rsidRPr="00A24080" w:rsidRDefault="00476413" w:rsidP="0028208B">
            <w:pPr>
              <w:ind w:right="90"/>
              <w:rPr>
                <w:sz w:val="22"/>
                <w:szCs w:val="22"/>
                <w:lang w:val="ro-RO"/>
              </w:rPr>
            </w:pPr>
          </w:p>
        </w:tc>
        <w:tc>
          <w:tcPr>
            <w:tcW w:w="1418" w:type="dxa"/>
          </w:tcPr>
          <w:p w14:paraId="446E9D62" w14:textId="4ECBA6D7" w:rsidR="00476413" w:rsidRPr="00A24080" w:rsidRDefault="006F5B8B"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2988434" w14:textId="77777777" w:rsidR="00476413" w:rsidRPr="00A24080" w:rsidRDefault="00476413" w:rsidP="0028208B">
            <w:pPr>
              <w:jc w:val="both"/>
              <w:rPr>
                <w:bCs/>
                <w:sz w:val="22"/>
                <w:szCs w:val="22"/>
                <w:lang w:val="ro-RO"/>
              </w:rPr>
            </w:pPr>
          </w:p>
        </w:tc>
      </w:tr>
      <w:tr w:rsidR="00476413" w:rsidRPr="00A24080" w14:paraId="158D224E"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A24080" w14:paraId="7B1B4542" w14:textId="77777777" w:rsidTr="003146FA">
              <w:tc>
                <w:tcPr>
                  <w:tcW w:w="774" w:type="dxa"/>
                </w:tcPr>
                <w:p w14:paraId="144ACC0D" w14:textId="514C94A6"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0210-0240</w:t>
                  </w:r>
                </w:p>
              </w:tc>
              <w:tc>
                <w:tcPr>
                  <w:tcW w:w="4143" w:type="dxa"/>
                </w:tcPr>
                <w:p w14:paraId="01EF8232" w14:textId="77777777" w:rsidR="00476413" w:rsidRPr="00A24080" w:rsidRDefault="00476413"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b/>
                      <w:sz w:val="22"/>
                      <w:szCs w:val="22"/>
                      <w:u w:val="single"/>
                      <w:lang w:val="it-IT"/>
                    </w:rPr>
                    <w:t>RISC GENERAL. ABORDAREA PE BAZA DURATEI</w:t>
                  </w:r>
                </w:p>
                <w:p w14:paraId="1482DB14" w14:textId="5C625C21"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it-IT"/>
                    </w:rPr>
                    <w:lastRenderedPageBreak/>
                    <w:t xml:space="preserve">Pozițiile pe instrumente de datorie tranzacționate cărora li se aplică abordarea pe baza duratei menționată la articolul 340 alineatele (1)-(6) din Regulamentul (UE) nr. 575/2013 și cerințele de fonduri proprii corespunzătoare calculate în conformitate cu articolul 340 alineatul (7) din Regulamentul (UE) nr. 575/2013. </w:t>
                  </w:r>
                  <w:r w:rsidRPr="00A24080">
                    <w:rPr>
                      <w:sz w:val="22"/>
                      <w:szCs w:val="22"/>
                    </w:rPr>
                    <w:t>Poziția este defalcată pe zonele 1, 2 și 3.</w:t>
                  </w:r>
                </w:p>
              </w:tc>
            </w:tr>
          </w:tbl>
          <w:p w14:paraId="1ED9F0EC" w14:textId="38F8CCF0"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A24080" w14:paraId="61AAD2FC" w14:textId="77777777" w:rsidTr="003146FA">
              <w:tc>
                <w:tcPr>
                  <w:tcW w:w="774" w:type="dxa"/>
                </w:tcPr>
                <w:p w14:paraId="343E0399"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lastRenderedPageBreak/>
                    <w:t>0210-0240</w:t>
                  </w:r>
                </w:p>
              </w:tc>
              <w:tc>
                <w:tcPr>
                  <w:tcW w:w="4143" w:type="dxa"/>
                </w:tcPr>
                <w:p w14:paraId="4A1CC7B8" w14:textId="77777777" w:rsidR="00476413" w:rsidRPr="00A24080" w:rsidRDefault="00476413"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b/>
                      <w:sz w:val="22"/>
                      <w:szCs w:val="22"/>
                      <w:u w:val="single"/>
                      <w:lang w:val="it-IT"/>
                    </w:rPr>
                    <w:t>RISC GENERAL. ABORDAREA PE BAZA DURATEI</w:t>
                  </w:r>
                </w:p>
                <w:p w14:paraId="4D26B998" w14:textId="3FC92A39"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it-IT"/>
                    </w:rPr>
                    <w:lastRenderedPageBreak/>
                    <w:t xml:space="preserve">Pozițiile pe instrumente de datorie tranzacționate cărora li se aplică abordarea pe baza duratei menționată la </w:t>
                  </w:r>
                  <w:r w:rsidR="008D73E6" w:rsidRPr="00A24080">
                    <w:rPr>
                      <w:sz w:val="22"/>
                      <w:szCs w:val="22"/>
                      <w:lang w:val="it-IT"/>
                    </w:rPr>
                    <w:t>pct.458-465</w:t>
                  </w:r>
                  <w:r w:rsidRPr="00A24080">
                    <w:rPr>
                      <w:sz w:val="22"/>
                      <w:szCs w:val="22"/>
                      <w:lang w:val="it-IT"/>
                    </w:rPr>
                    <w:t xml:space="preserve"> din Regulamentul </w:t>
                  </w:r>
                  <w:r w:rsidR="008D73E6" w:rsidRPr="00A24080">
                    <w:rPr>
                      <w:sz w:val="22"/>
                      <w:szCs w:val="22"/>
                      <w:lang w:val="it-IT"/>
                    </w:rPr>
                    <w:t>nr.XX/2026</w:t>
                  </w:r>
                  <w:r w:rsidRPr="00A24080">
                    <w:rPr>
                      <w:sz w:val="22"/>
                      <w:szCs w:val="22"/>
                      <w:lang w:val="it-IT"/>
                    </w:rPr>
                    <w:t xml:space="preserve"> și cerințele de fonduri proprii corespunzătoare calculate în conformitate cu </w:t>
                  </w:r>
                  <w:r w:rsidR="008D73E6" w:rsidRPr="00A24080">
                    <w:rPr>
                      <w:sz w:val="22"/>
                      <w:szCs w:val="22"/>
                      <w:lang w:val="it-IT"/>
                    </w:rPr>
                    <w:t>pct.466</w:t>
                  </w:r>
                  <w:r w:rsidRPr="00A24080">
                    <w:rPr>
                      <w:sz w:val="22"/>
                      <w:szCs w:val="22"/>
                      <w:lang w:val="it-IT"/>
                    </w:rPr>
                    <w:t xml:space="preserve"> din </w:t>
                  </w:r>
                  <w:r w:rsidR="008D73E6" w:rsidRPr="00A24080">
                    <w:rPr>
                      <w:sz w:val="22"/>
                      <w:szCs w:val="22"/>
                      <w:lang w:val="it-IT"/>
                    </w:rPr>
                    <w:t>r</w:t>
                  </w:r>
                  <w:r w:rsidRPr="00A24080">
                    <w:rPr>
                      <w:sz w:val="22"/>
                      <w:szCs w:val="22"/>
                      <w:lang w:val="it-IT"/>
                    </w:rPr>
                    <w:t xml:space="preserve">egulamentul </w:t>
                  </w:r>
                  <w:r w:rsidR="008D73E6" w:rsidRPr="00A24080">
                    <w:rPr>
                      <w:sz w:val="22"/>
                      <w:szCs w:val="22"/>
                      <w:lang w:val="it-IT"/>
                    </w:rPr>
                    <w:t>respectiv</w:t>
                  </w:r>
                  <w:r w:rsidRPr="00A24080">
                    <w:rPr>
                      <w:sz w:val="22"/>
                      <w:szCs w:val="22"/>
                      <w:lang w:val="it-IT"/>
                    </w:rPr>
                    <w:t>. Poziția este defalcată pe zonele 1, 2 și 3.</w:t>
                  </w:r>
                </w:p>
              </w:tc>
            </w:tr>
          </w:tbl>
          <w:p w14:paraId="29FC4D46" w14:textId="1C7B0346" w:rsidR="00476413" w:rsidRPr="00A24080" w:rsidRDefault="00476413" w:rsidP="0028208B">
            <w:pPr>
              <w:ind w:right="90"/>
              <w:jc w:val="both"/>
              <w:rPr>
                <w:sz w:val="22"/>
                <w:szCs w:val="22"/>
                <w:lang w:val="ro-RO"/>
              </w:rPr>
            </w:pPr>
          </w:p>
        </w:tc>
        <w:tc>
          <w:tcPr>
            <w:tcW w:w="1418" w:type="dxa"/>
          </w:tcPr>
          <w:p w14:paraId="4F2D5178" w14:textId="208849C3" w:rsidR="00476413" w:rsidRPr="00A24080" w:rsidRDefault="008D73E6"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189B36AC" w14:textId="77777777" w:rsidR="00476413" w:rsidRPr="00A24080" w:rsidRDefault="00476413" w:rsidP="0028208B">
            <w:pPr>
              <w:jc w:val="both"/>
              <w:rPr>
                <w:bCs/>
                <w:sz w:val="22"/>
                <w:szCs w:val="22"/>
                <w:lang w:val="ro-RO"/>
              </w:rPr>
            </w:pPr>
          </w:p>
        </w:tc>
      </w:tr>
      <w:tr w:rsidR="00476413" w:rsidRPr="00A24080" w14:paraId="2F123EB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3BB18DB6" w14:textId="77777777" w:rsidTr="003146FA">
              <w:tc>
                <w:tcPr>
                  <w:tcW w:w="774" w:type="dxa"/>
                </w:tcPr>
                <w:p w14:paraId="603D019E" w14:textId="5D711C11"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0250</w:t>
                  </w:r>
                </w:p>
              </w:tc>
              <w:tc>
                <w:tcPr>
                  <w:tcW w:w="4143" w:type="dxa"/>
                </w:tcPr>
                <w:p w14:paraId="574E9E74"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RISC SPECIFIC</w:t>
                  </w:r>
                </w:p>
                <w:p w14:paraId="7E219FA7" w14:textId="77777777" w:rsidR="00476413" w:rsidRPr="00A24080" w:rsidRDefault="00476413" w:rsidP="0028208B">
                  <w:pPr>
                    <w:framePr w:hSpace="180" w:wrap="around" w:vAnchor="text" w:hAnchor="text" w:x="-612" w:y="1"/>
                    <w:suppressAutoHyphens/>
                    <w:suppressOverlap/>
                    <w:jc w:val="both"/>
                    <w:rPr>
                      <w:sz w:val="22"/>
                      <w:szCs w:val="22"/>
                      <w:lang w:val="it-IT"/>
                    </w:rPr>
                  </w:pPr>
                  <w:r w:rsidRPr="00A24080">
                    <w:rPr>
                      <w:sz w:val="22"/>
                      <w:szCs w:val="22"/>
                      <w:lang w:val="it-IT"/>
                    </w:rPr>
                    <w:t xml:space="preserve">Suma cuantumurilor raportate pe rândurile 0251, 0325 și 0330. </w:t>
                  </w:r>
                </w:p>
                <w:p w14:paraId="1F73E1FE" w14:textId="6AF6CFDD"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it-IT"/>
                    </w:rPr>
                    <w:t xml:space="preserve">Pozițiile pe instrumente de datorie tranzacționate cărora li se aplică cerințele de capital pentru riscul specific și cerințele de capital corespunzătoare acestora în conformitate cu articolul 92 alineatul (4) litera (b), cu articolul 335, cu articolul 336 alineatele (1), (2) și (3) și cu articolele 337 și 338 din Regulamentul (UE) nr. 575/2013. </w:t>
                  </w:r>
                  <w:r w:rsidRPr="00A24080">
                    <w:rPr>
                      <w:sz w:val="22"/>
                      <w:szCs w:val="22"/>
                      <w:lang w:val="pt-BR"/>
                    </w:rPr>
                    <w:t>A se ține cont, de asemenea, de articolul 327 alineatul (1) ultima teză din Regulamentul (UE) nr. 575/2013.</w:t>
                  </w:r>
                </w:p>
              </w:tc>
            </w:tr>
          </w:tbl>
          <w:p w14:paraId="0E75D23A" w14:textId="61DC4BB4" w:rsidR="00476413" w:rsidRPr="00A24080" w:rsidRDefault="0047641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728B4D98" w14:textId="77777777" w:rsidTr="003146FA">
              <w:tc>
                <w:tcPr>
                  <w:tcW w:w="774" w:type="dxa"/>
                </w:tcPr>
                <w:p w14:paraId="716CF46C" w14:textId="7777777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rPr>
                    <w:t>0250</w:t>
                  </w:r>
                </w:p>
              </w:tc>
              <w:tc>
                <w:tcPr>
                  <w:tcW w:w="4143" w:type="dxa"/>
                </w:tcPr>
                <w:p w14:paraId="7BE9BC21"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RISC SPECIFIC</w:t>
                  </w:r>
                </w:p>
                <w:p w14:paraId="50E34994" w14:textId="77777777" w:rsidR="00476413" w:rsidRPr="00A24080" w:rsidRDefault="00476413" w:rsidP="0028208B">
                  <w:pPr>
                    <w:framePr w:hSpace="180" w:wrap="around" w:vAnchor="text" w:hAnchor="text" w:x="-612" w:y="1"/>
                    <w:suppressAutoHyphens/>
                    <w:suppressOverlap/>
                    <w:jc w:val="both"/>
                    <w:rPr>
                      <w:sz w:val="22"/>
                      <w:szCs w:val="22"/>
                      <w:lang w:val="it-IT"/>
                    </w:rPr>
                  </w:pPr>
                  <w:r w:rsidRPr="00A24080">
                    <w:rPr>
                      <w:sz w:val="22"/>
                      <w:szCs w:val="22"/>
                      <w:lang w:val="it-IT"/>
                    </w:rPr>
                    <w:t xml:space="preserve">Suma cuantumurilor raportate pe rândurile 0251, 0325 și 0330. </w:t>
                  </w:r>
                </w:p>
                <w:p w14:paraId="3A8A9BE4" w14:textId="795CB237"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it-IT"/>
                    </w:rPr>
                    <w:t xml:space="preserve">Pozițiile pe instrumente de datorie tranzacționate cărora li se aplică cerințele de capital pentru riscul specific și cerințele de capital corespunzătoare acestora în conformitate cu </w:t>
                  </w:r>
                  <w:r w:rsidR="009064E0" w:rsidRPr="00A24080">
                    <w:rPr>
                      <w:sz w:val="22"/>
                      <w:szCs w:val="22"/>
                      <w:lang w:val="it-IT"/>
                    </w:rPr>
                    <w:t>pct.132 subpct.1) din Regulamentul nr.109/2018</w:t>
                  </w:r>
                  <w:r w:rsidRPr="00A24080">
                    <w:rPr>
                      <w:sz w:val="22"/>
                      <w:szCs w:val="22"/>
                      <w:lang w:val="it-IT"/>
                    </w:rPr>
                    <w:t xml:space="preserve">, cu </w:t>
                  </w:r>
                  <w:r w:rsidR="009064E0" w:rsidRPr="00A24080">
                    <w:rPr>
                      <w:sz w:val="22"/>
                      <w:szCs w:val="22"/>
                      <w:lang w:val="it-IT"/>
                    </w:rPr>
                    <w:t>pct.435</w:t>
                  </w:r>
                  <w:r w:rsidRPr="00A24080">
                    <w:rPr>
                      <w:sz w:val="22"/>
                      <w:szCs w:val="22"/>
                      <w:lang w:val="it-IT"/>
                    </w:rPr>
                    <w:t xml:space="preserve">, cu </w:t>
                  </w:r>
                  <w:r w:rsidR="0087025B" w:rsidRPr="00A24080">
                    <w:rPr>
                      <w:sz w:val="22"/>
                      <w:szCs w:val="22"/>
                      <w:lang w:val="it-IT"/>
                    </w:rPr>
                    <w:t>pct.436-438</w:t>
                  </w:r>
                  <w:r w:rsidRPr="00A24080">
                    <w:rPr>
                      <w:sz w:val="22"/>
                      <w:szCs w:val="22"/>
                      <w:lang w:val="it-IT"/>
                    </w:rPr>
                    <w:t xml:space="preserve"> și cu </w:t>
                  </w:r>
                  <w:r w:rsidR="0087025B" w:rsidRPr="00A24080">
                    <w:rPr>
                      <w:sz w:val="22"/>
                      <w:szCs w:val="22"/>
                      <w:lang w:val="it-IT"/>
                    </w:rPr>
                    <w:t xml:space="preserve">titlul II, capitolul IV secțiunea 2 </w:t>
                  </w:r>
                  <w:r w:rsidR="003C3B2A" w:rsidRPr="00A24080">
                    <w:rPr>
                      <w:sz w:val="22"/>
                      <w:szCs w:val="22"/>
                      <w:lang w:val="it-IT"/>
                    </w:rPr>
                    <w:t xml:space="preserve">subsecțiunea 1 </w:t>
                  </w:r>
                  <w:r w:rsidR="0087025B" w:rsidRPr="00A24080">
                    <w:rPr>
                      <w:sz w:val="22"/>
                      <w:szCs w:val="22"/>
                      <w:lang w:val="it-IT"/>
                    </w:rPr>
                    <w:t>paragraful 3</w:t>
                  </w:r>
                  <w:r w:rsidRPr="00A24080">
                    <w:rPr>
                      <w:sz w:val="22"/>
                      <w:szCs w:val="22"/>
                      <w:lang w:val="it-IT"/>
                    </w:rPr>
                    <w:t xml:space="preserve"> și </w:t>
                  </w:r>
                  <w:r w:rsidR="0087025B" w:rsidRPr="00A24080">
                    <w:rPr>
                      <w:sz w:val="22"/>
                      <w:szCs w:val="22"/>
                      <w:lang w:val="it-IT"/>
                    </w:rPr>
                    <w:t xml:space="preserve">4 </w:t>
                  </w:r>
                  <w:r w:rsidRPr="00A24080">
                    <w:rPr>
                      <w:sz w:val="22"/>
                      <w:szCs w:val="22"/>
                      <w:lang w:val="it-IT"/>
                    </w:rPr>
                    <w:t xml:space="preserve">din Regulamentul </w:t>
                  </w:r>
                  <w:r w:rsidR="0087025B" w:rsidRPr="00A24080">
                    <w:rPr>
                      <w:sz w:val="22"/>
                      <w:szCs w:val="22"/>
                      <w:lang w:val="it-IT"/>
                    </w:rPr>
                    <w:t>nr.XX/2026</w:t>
                  </w:r>
                  <w:r w:rsidRPr="00A24080">
                    <w:rPr>
                      <w:sz w:val="22"/>
                      <w:szCs w:val="22"/>
                      <w:lang w:val="it-IT"/>
                    </w:rPr>
                    <w:t xml:space="preserve">. </w:t>
                  </w:r>
                  <w:r w:rsidRPr="00A24080">
                    <w:rPr>
                      <w:sz w:val="22"/>
                      <w:szCs w:val="22"/>
                      <w:lang w:val="pt-BR"/>
                    </w:rPr>
                    <w:t xml:space="preserve">A se ține cont, de asemenea, de </w:t>
                  </w:r>
                  <w:r w:rsidR="00297E1E" w:rsidRPr="00A24080">
                    <w:rPr>
                      <w:sz w:val="22"/>
                      <w:szCs w:val="22"/>
                      <w:lang w:val="pt-BR"/>
                    </w:rPr>
                    <w:t>pct.418 ultima propoziție</w:t>
                  </w:r>
                  <w:r w:rsidRPr="00A24080">
                    <w:rPr>
                      <w:sz w:val="22"/>
                      <w:szCs w:val="22"/>
                      <w:lang w:val="pt-BR"/>
                    </w:rPr>
                    <w:t xml:space="preserve"> din Regulamentul </w:t>
                  </w:r>
                  <w:r w:rsidR="00297E1E" w:rsidRPr="00A24080">
                    <w:rPr>
                      <w:sz w:val="22"/>
                      <w:szCs w:val="22"/>
                      <w:lang w:val="pt-BR"/>
                    </w:rPr>
                    <w:t>nr.XX/2026</w:t>
                  </w:r>
                  <w:r w:rsidRPr="00A24080">
                    <w:rPr>
                      <w:sz w:val="22"/>
                      <w:szCs w:val="22"/>
                      <w:lang w:val="pt-BR"/>
                    </w:rPr>
                    <w:t>.</w:t>
                  </w:r>
                </w:p>
              </w:tc>
            </w:tr>
          </w:tbl>
          <w:p w14:paraId="590EC420" w14:textId="77777777" w:rsidR="00476413" w:rsidRPr="00A24080" w:rsidRDefault="00476413" w:rsidP="0028208B">
            <w:pPr>
              <w:ind w:right="90"/>
              <w:jc w:val="both"/>
              <w:rPr>
                <w:sz w:val="22"/>
                <w:szCs w:val="22"/>
                <w:lang w:val="ro-RO"/>
              </w:rPr>
            </w:pPr>
          </w:p>
        </w:tc>
        <w:tc>
          <w:tcPr>
            <w:tcW w:w="1418" w:type="dxa"/>
          </w:tcPr>
          <w:p w14:paraId="2686DD4A" w14:textId="0103BE9D" w:rsidR="00476413" w:rsidRPr="00A24080" w:rsidRDefault="008F7297"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EE4154F" w14:textId="77777777" w:rsidR="00476413" w:rsidRPr="00A24080" w:rsidRDefault="00476413" w:rsidP="0028208B">
            <w:pPr>
              <w:jc w:val="both"/>
              <w:rPr>
                <w:bCs/>
                <w:sz w:val="22"/>
                <w:szCs w:val="22"/>
                <w:lang w:val="ro-RO"/>
              </w:rPr>
            </w:pPr>
          </w:p>
        </w:tc>
      </w:tr>
      <w:tr w:rsidR="006B47EB" w:rsidRPr="00A24080" w14:paraId="070D232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476413" w:rsidRPr="00EE7DB0" w14:paraId="060CF26F" w14:textId="77777777" w:rsidTr="003146FA">
              <w:tc>
                <w:tcPr>
                  <w:tcW w:w="774" w:type="dxa"/>
                </w:tcPr>
                <w:p w14:paraId="2596610D" w14:textId="544C3293" w:rsidR="00476413" w:rsidRPr="00A24080" w:rsidRDefault="00476413" w:rsidP="0028208B">
                  <w:pPr>
                    <w:framePr w:hSpace="180" w:wrap="around" w:vAnchor="text" w:hAnchor="text" w:x="-612" w:y="1"/>
                    <w:ind w:right="90"/>
                    <w:suppressOverlap/>
                    <w:jc w:val="both"/>
                    <w:rPr>
                      <w:sz w:val="22"/>
                      <w:szCs w:val="22"/>
                      <w:lang w:val="ro-RO"/>
                    </w:rPr>
                  </w:pPr>
                  <w:bookmarkStart w:id="20" w:name="_Hlk225500672"/>
                  <w:r w:rsidRPr="00A24080">
                    <w:rPr>
                      <w:sz w:val="22"/>
                      <w:szCs w:val="22"/>
                    </w:rPr>
                    <w:t>0251-0321</w:t>
                  </w:r>
                </w:p>
              </w:tc>
              <w:tc>
                <w:tcPr>
                  <w:tcW w:w="4143" w:type="dxa"/>
                </w:tcPr>
                <w:p w14:paraId="0A3D18F5" w14:textId="77777777" w:rsidR="00476413" w:rsidRPr="00A24080" w:rsidRDefault="0047641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Cerința de fonduri proprii pentru instrumentele de datorie care nu sunt poziții din securitizare</w:t>
                  </w:r>
                </w:p>
                <w:p w14:paraId="64F32387" w14:textId="77777777" w:rsidR="00476413" w:rsidRPr="00A24080" w:rsidRDefault="00476413" w:rsidP="0028208B">
                  <w:pPr>
                    <w:framePr w:hSpace="180" w:wrap="around" w:vAnchor="text" w:hAnchor="text" w:x="-612" w:y="1"/>
                    <w:suppressAutoHyphens/>
                    <w:suppressOverlap/>
                    <w:jc w:val="both"/>
                    <w:rPr>
                      <w:sz w:val="22"/>
                      <w:szCs w:val="22"/>
                      <w:lang w:val="ro-RO"/>
                    </w:rPr>
                  </w:pPr>
                  <w:r w:rsidRPr="00A24080">
                    <w:rPr>
                      <w:sz w:val="22"/>
                      <w:szCs w:val="22"/>
                      <w:lang w:val="ro-RO"/>
                    </w:rPr>
                    <w:t>Suma cuantumurilor raportate pe rândurile 260-321.</w:t>
                  </w:r>
                </w:p>
                <w:p w14:paraId="5EA6D88B" w14:textId="77777777" w:rsidR="00476413" w:rsidRPr="00A24080" w:rsidRDefault="00476413"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Cerința de fonduri proprii pentru instrumentele financiare derivate de credit de tipul «n-th to default» care nu beneficiază de un rating extern se calculează prin însumarea ponderilor de risc ale entităților de referință [articolul 332 alineatul (1) litera (e) din </w:t>
                  </w:r>
                  <w:r w:rsidRPr="00A24080">
                    <w:rPr>
                      <w:sz w:val="22"/>
                      <w:szCs w:val="22"/>
                      <w:lang w:val="ro-RO"/>
                    </w:rPr>
                    <w:lastRenderedPageBreak/>
                    <w:t xml:space="preserve">Regulamentul (UE) nr. 575/2013 și articolul 332 alineatul (1) al doilea paragraf din Regulamentul (UE) nr. 575/2013 – abordarea de tip </w:t>
                  </w:r>
                  <w:r w:rsidRPr="00A24080">
                    <w:rPr>
                      <w:i/>
                      <w:iCs/>
                      <w:sz w:val="22"/>
                      <w:szCs w:val="22"/>
                      <w:lang w:val="ro-RO"/>
                    </w:rPr>
                    <w:t>look through</w:t>
                  </w:r>
                  <w:r w:rsidRPr="00A24080">
                    <w:rPr>
                      <w:sz w:val="22"/>
                      <w:szCs w:val="22"/>
                      <w:lang w:val="ro-RO"/>
                    </w:rPr>
                    <w:t xml:space="preserve">]. Instrumentele financiare derivate de credit de tipul «n-th-to-default» care beneficiază de un rating extern [articolul 332 alineatul (1) al treilea paragraf din Regulamentul (UE) nr. 575/2013] trebuie raportate separat pe rândul 321. </w:t>
                  </w:r>
                </w:p>
                <w:p w14:paraId="41CE38EB" w14:textId="77777777" w:rsidR="00476413" w:rsidRPr="00A24080" w:rsidRDefault="00476413" w:rsidP="0028208B">
                  <w:pPr>
                    <w:framePr w:hSpace="180" w:wrap="around" w:vAnchor="text" w:hAnchor="text" w:x="-612" w:y="1"/>
                    <w:suppressAutoHyphens/>
                    <w:suppressOverlap/>
                    <w:jc w:val="both"/>
                    <w:rPr>
                      <w:sz w:val="22"/>
                      <w:szCs w:val="22"/>
                      <w:lang w:val="ro-RO"/>
                    </w:rPr>
                  </w:pPr>
                  <w:r w:rsidRPr="00A24080">
                    <w:rPr>
                      <w:sz w:val="22"/>
                      <w:szCs w:val="22"/>
                      <w:lang w:val="ro-RO"/>
                    </w:rPr>
                    <w:t>Raportarea pozițiilor cărora li se aplică articolul 336 alineatul (3) din Regulamentul (UE) nr. 575/2013: Există un tratament special pentru obligațiunile din portofoliul bancar care îndeplinesc condițiile pentru o pondere de risc de 10 % în conformitate cu articolul 129 alineatul (3) din Regulamentul (UE) nr. 575/2013 (obligațiunile garantate). Cerințele specifice de fonduri proprii reprezintă jumătate din procentajul prevăzut pentru a doua categorie menționată în tabelul 1 de la articolul 336 din Regulamentul (UE) nr. 575/2013. Pozițiile respective trebuie alocate pe rândurile 0280-0300 în funcție de termenul rămas până la scadența finală.</w:t>
                  </w:r>
                </w:p>
                <w:p w14:paraId="1515F2B6" w14:textId="1F6A62D8" w:rsidR="00476413" w:rsidRPr="00A24080" w:rsidRDefault="00476413"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riscul general al pozițiilor pe rata dobânzii este acoperit printr-un instrument financiar derivat de credit, se aplică articolele 346 și 347 din Regulamentul (UE) nr. 575/2013. </w:t>
                  </w:r>
                </w:p>
              </w:tc>
            </w:tr>
            <w:bookmarkEnd w:id="20"/>
          </w:tbl>
          <w:p w14:paraId="6EAA60AF" w14:textId="10FF07D7" w:rsidR="006B47EB" w:rsidRPr="00A24080" w:rsidRDefault="006B47EB"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29939923" w14:textId="77777777" w:rsidTr="003146FA">
              <w:tc>
                <w:tcPr>
                  <w:tcW w:w="774" w:type="dxa"/>
                </w:tcPr>
                <w:p w14:paraId="305CC9D5"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lastRenderedPageBreak/>
                    <w:t>0251-0321</w:t>
                  </w:r>
                </w:p>
              </w:tc>
              <w:tc>
                <w:tcPr>
                  <w:tcW w:w="4143" w:type="dxa"/>
                </w:tcPr>
                <w:p w14:paraId="72B7AE1E" w14:textId="77777777" w:rsidR="00BD6482" w:rsidRPr="00A24080" w:rsidRDefault="00BD6482"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Cerința de fonduri proprii pentru instrumentele de datorie care nu sunt poziții din securitizare</w:t>
                  </w:r>
                </w:p>
                <w:p w14:paraId="0B9FA884" w14:textId="77777777" w:rsidR="00BD6482" w:rsidRPr="00A24080" w:rsidRDefault="00BD6482" w:rsidP="0028208B">
                  <w:pPr>
                    <w:framePr w:hSpace="180" w:wrap="around" w:vAnchor="text" w:hAnchor="text" w:x="-612" w:y="1"/>
                    <w:suppressAutoHyphens/>
                    <w:suppressOverlap/>
                    <w:jc w:val="both"/>
                    <w:rPr>
                      <w:sz w:val="22"/>
                      <w:szCs w:val="22"/>
                      <w:lang w:val="ro-RO"/>
                    </w:rPr>
                  </w:pPr>
                  <w:r w:rsidRPr="00A24080">
                    <w:rPr>
                      <w:sz w:val="22"/>
                      <w:szCs w:val="22"/>
                      <w:lang w:val="ro-RO"/>
                    </w:rPr>
                    <w:t>Suma cuantumurilor raportate pe rândurile 260-321.</w:t>
                  </w:r>
                </w:p>
                <w:p w14:paraId="07108DEC" w14:textId="3D2D9013" w:rsidR="00BD6482" w:rsidRPr="00A24080" w:rsidRDefault="00BD6482" w:rsidP="0028208B">
                  <w:pPr>
                    <w:framePr w:hSpace="180" w:wrap="around" w:vAnchor="text" w:hAnchor="text" w:x="-612" w:y="1"/>
                    <w:suppressAutoHyphens/>
                    <w:suppressOverlap/>
                    <w:jc w:val="both"/>
                    <w:rPr>
                      <w:sz w:val="22"/>
                      <w:szCs w:val="22"/>
                      <w:lang w:val="ro-RO"/>
                    </w:rPr>
                  </w:pPr>
                  <w:r w:rsidRPr="00A24080">
                    <w:rPr>
                      <w:sz w:val="22"/>
                      <w:szCs w:val="22"/>
                      <w:lang w:val="ro-RO"/>
                    </w:rPr>
                    <w:t>Cerința de fonduri proprii pentru instrumentele financiare derivate de credit de tipul «n-th to default» care nu beneficiază de un rating extern se calculează prin însumarea ponderilor de risc ale entităților de referință [</w:t>
                  </w:r>
                  <w:r w:rsidR="0022378E" w:rsidRPr="00A24080">
                    <w:rPr>
                      <w:sz w:val="22"/>
                      <w:szCs w:val="22"/>
                      <w:lang w:val="ro-RO"/>
                    </w:rPr>
                    <w:t>subpct.428.5</w:t>
                  </w:r>
                  <w:r w:rsidRPr="00A24080">
                    <w:rPr>
                      <w:sz w:val="22"/>
                      <w:szCs w:val="22"/>
                      <w:lang w:val="ro-RO"/>
                    </w:rPr>
                    <w:t xml:space="preserve"> și </w:t>
                  </w:r>
                  <w:r w:rsidR="0022378E" w:rsidRPr="00A24080">
                    <w:rPr>
                      <w:sz w:val="22"/>
                      <w:szCs w:val="22"/>
                      <w:lang w:val="ro-RO"/>
                    </w:rPr>
                    <w:t>pct.429</w:t>
                  </w:r>
                  <w:r w:rsidRPr="00A24080">
                    <w:rPr>
                      <w:sz w:val="22"/>
                      <w:szCs w:val="22"/>
                      <w:lang w:val="ro-RO"/>
                    </w:rPr>
                    <w:t xml:space="preserve"> din Regulamentul </w:t>
                  </w:r>
                  <w:r w:rsidR="0022378E" w:rsidRPr="00A24080">
                    <w:rPr>
                      <w:sz w:val="22"/>
                      <w:szCs w:val="22"/>
                      <w:lang w:val="ro-RO"/>
                    </w:rPr>
                    <w:lastRenderedPageBreak/>
                    <w:t>nr.XX/2026</w:t>
                  </w:r>
                  <w:r w:rsidRPr="00A24080">
                    <w:rPr>
                      <w:sz w:val="22"/>
                      <w:szCs w:val="22"/>
                      <w:lang w:val="ro-RO"/>
                    </w:rPr>
                    <w:t xml:space="preserve"> – abordarea de tip </w:t>
                  </w:r>
                  <w:r w:rsidRPr="00A24080">
                    <w:rPr>
                      <w:i/>
                      <w:iCs/>
                      <w:sz w:val="22"/>
                      <w:szCs w:val="22"/>
                      <w:lang w:val="ro-RO"/>
                    </w:rPr>
                    <w:t>look through</w:t>
                  </w:r>
                  <w:r w:rsidRPr="00A24080">
                    <w:rPr>
                      <w:sz w:val="22"/>
                      <w:szCs w:val="22"/>
                      <w:lang w:val="ro-RO"/>
                    </w:rPr>
                    <w:t>]. Instrumentele financiare derivate de credit de tipul «n-th-to-default» care beneficiază de un rating extern [</w:t>
                  </w:r>
                  <w:r w:rsidR="00E05BB6" w:rsidRPr="00A24080">
                    <w:rPr>
                      <w:sz w:val="22"/>
                      <w:szCs w:val="22"/>
                      <w:lang w:val="ro-RO"/>
                    </w:rPr>
                    <w:t>pct.430</w:t>
                  </w:r>
                  <w:r w:rsidRPr="00A24080">
                    <w:rPr>
                      <w:sz w:val="22"/>
                      <w:szCs w:val="22"/>
                      <w:lang w:val="ro-RO"/>
                    </w:rPr>
                    <w:t xml:space="preserve"> din Regulamentul </w:t>
                  </w:r>
                  <w:r w:rsidR="00E05BB6" w:rsidRPr="00A24080">
                    <w:rPr>
                      <w:sz w:val="22"/>
                      <w:szCs w:val="22"/>
                      <w:lang w:val="ro-RO"/>
                    </w:rPr>
                    <w:t>nr.XX/2026</w:t>
                  </w:r>
                  <w:r w:rsidRPr="00A24080">
                    <w:rPr>
                      <w:sz w:val="22"/>
                      <w:szCs w:val="22"/>
                      <w:lang w:val="ro-RO"/>
                    </w:rPr>
                    <w:t xml:space="preserve">] trebuie raportate separat pe rândul 321. </w:t>
                  </w:r>
                </w:p>
                <w:p w14:paraId="21215288" w14:textId="7994C367" w:rsidR="00BD6482" w:rsidRPr="00A24080" w:rsidRDefault="00BD6482"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Raportarea pozițiilor cărora li se aplică </w:t>
                  </w:r>
                  <w:r w:rsidR="0087025B" w:rsidRPr="00A24080">
                    <w:rPr>
                      <w:sz w:val="22"/>
                      <w:szCs w:val="22"/>
                      <w:lang w:val="ro-RO"/>
                    </w:rPr>
                    <w:t>pct.438 din Regulamentul nr.XX/2026</w:t>
                  </w:r>
                  <w:r w:rsidRPr="00A24080">
                    <w:rPr>
                      <w:sz w:val="22"/>
                      <w:szCs w:val="22"/>
                      <w:lang w:val="ro-RO"/>
                    </w:rPr>
                    <w:t xml:space="preserve">: Există un tratament special pentru obligațiunile din portofoliul bancar care îndeplinesc condițiile pentru o pondere de risc de 10 % în conformitate cu </w:t>
                  </w:r>
                  <w:r w:rsidR="00E05BB6" w:rsidRPr="00A24080">
                    <w:rPr>
                      <w:sz w:val="22"/>
                      <w:szCs w:val="22"/>
                      <w:lang w:val="ro-RO"/>
                    </w:rPr>
                    <w:t>pct.75</w:t>
                  </w:r>
                  <w:r w:rsidR="00E05BB6" w:rsidRPr="00A24080">
                    <w:rPr>
                      <w:sz w:val="22"/>
                      <w:szCs w:val="22"/>
                      <w:vertAlign w:val="superscript"/>
                      <w:lang w:val="ro-RO"/>
                    </w:rPr>
                    <w:t>10</w:t>
                  </w:r>
                  <w:r w:rsidR="00E05BB6" w:rsidRPr="00A24080">
                    <w:rPr>
                      <w:sz w:val="22"/>
                      <w:szCs w:val="22"/>
                      <w:lang w:val="ro-RO"/>
                    </w:rPr>
                    <w:t xml:space="preserve"> din Regulamentul nr.111/2018</w:t>
                  </w:r>
                  <w:r w:rsidRPr="00A24080">
                    <w:rPr>
                      <w:sz w:val="22"/>
                      <w:szCs w:val="22"/>
                      <w:lang w:val="ro-RO"/>
                    </w:rPr>
                    <w:t xml:space="preserve"> (obligațiunile garantate). Cerințele specifice de fonduri proprii reprezintă jumătate din procentajul prevăzut pentru a doua categorie menționată în tabelul 1 de la </w:t>
                  </w:r>
                  <w:r w:rsidR="0087025B" w:rsidRPr="00A24080">
                    <w:rPr>
                      <w:sz w:val="22"/>
                      <w:szCs w:val="22"/>
                      <w:lang w:val="ro-RO"/>
                    </w:rPr>
                    <w:t>pct.436 din Regulamentul nr.XX/2026</w:t>
                  </w:r>
                  <w:r w:rsidRPr="00A24080">
                    <w:rPr>
                      <w:sz w:val="22"/>
                      <w:szCs w:val="22"/>
                      <w:lang w:val="ro-RO"/>
                    </w:rPr>
                    <w:t>. Pozițiile respective trebuie alocate pe rândurile 0280-0300 în funcție de termenul rămas până la scadența finală.</w:t>
                  </w:r>
                </w:p>
                <w:p w14:paraId="1667DCF0" w14:textId="73891593"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riscul general al pozițiilor pe rata dobânzii este acoperit printr-un instrument financiar derivat de credit, se aplică </w:t>
                  </w:r>
                  <w:r w:rsidR="003176FD" w:rsidRPr="00A24080">
                    <w:rPr>
                      <w:sz w:val="22"/>
                      <w:szCs w:val="22"/>
                      <w:lang w:val="ro-RO"/>
                    </w:rPr>
                    <w:t>titlul II capitolul IV secțiunea 5</w:t>
                  </w:r>
                  <w:r w:rsidRPr="00A24080">
                    <w:rPr>
                      <w:sz w:val="22"/>
                      <w:szCs w:val="22"/>
                      <w:lang w:val="ro-RO"/>
                    </w:rPr>
                    <w:t xml:space="preserve"> din Regulamentul </w:t>
                  </w:r>
                  <w:r w:rsidR="003176FD" w:rsidRPr="00A24080">
                    <w:rPr>
                      <w:sz w:val="22"/>
                      <w:szCs w:val="22"/>
                      <w:lang w:val="ro-RO"/>
                    </w:rPr>
                    <w:t>nr.XX/2026</w:t>
                  </w:r>
                  <w:r w:rsidRPr="00A24080">
                    <w:rPr>
                      <w:sz w:val="22"/>
                      <w:szCs w:val="22"/>
                      <w:lang w:val="ro-RO"/>
                    </w:rPr>
                    <w:t xml:space="preserve">. </w:t>
                  </w:r>
                </w:p>
              </w:tc>
            </w:tr>
          </w:tbl>
          <w:p w14:paraId="194C03E6" w14:textId="77777777" w:rsidR="006B47EB" w:rsidRPr="00A24080" w:rsidRDefault="006B47EB" w:rsidP="0028208B">
            <w:pPr>
              <w:ind w:right="90"/>
              <w:rPr>
                <w:sz w:val="22"/>
                <w:szCs w:val="22"/>
                <w:lang w:val="ro-RO"/>
              </w:rPr>
            </w:pPr>
          </w:p>
        </w:tc>
        <w:tc>
          <w:tcPr>
            <w:tcW w:w="1418" w:type="dxa"/>
          </w:tcPr>
          <w:p w14:paraId="143E5ECE" w14:textId="067C66A5" w:rsidR="006B47EB" w:rsidRPr="00A24080" w:rsidRDefault="008F7297"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7C7CCEB" w14:textId="77777777" w:rsidR="006B47EB" w:rsidRPr="00A24080" w:rsidRDefault="006B47EB" w:rsidP="0028208B">
            <w:pPr>
              <w:jc w:val="both"/>
              <w:rPr>
                <w:bCs/>
                <w:sz w:val="22"/>
                <w:szCs w:val="22"/>
                <w:lang w:val="ro-RO"/>
              </w:rPr>
            </w:pPr>
          </w:p>
        </w:tc>
      </w:tr>
      <w:tr w:rsidR="00BD6482" w:rsidRPr="00A24080" w14:paraId="0D2A706B"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498A75B7" w14:textId="77777777" w:rsidTr="003146FA">
              <w:tc>
                <w:tcPr>
                  <w:tcW w:w="774" w:type="dxa"/>
                </w:tcPr>
                <w:p w14:paraId="39BD3649" w14:textId="4A3EE69E"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t>0325</w:t>
                  </w:r>
                </w:p>
              </w:tc>
              <w:tc>
                <w:tcPr>
                  <w:tcW w:w="4143" w:type="dxa"/>
                </w:tcPr>
                <w:p w14:paraId="6A22171C" w14:textId="77777777" w:rsidR="00BD6482" w:rsidRPr="00A24080" w:rsidRDefault="00BD6482"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Cerința de fonduri proprii pentru instrumentele care sunt poziții din securitizare</w:t>
                  </w:r>
                </w:p>
                <w:p w14:paraId="2AD85D92" w14:textId="38DD739A"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it-IT"/>
                    </w:rPr>
                    <w:t xml:space="preserve">Cerințele de fonduri proprii totale raportate în coloana 0601 din formularul MKR SSA </w:t>
                  </w:r>
                  <w:r w:rsidRPr="00A24080">
                    <w:rPr>
                      <w:sz w:val="22"/>
                      <w:szCs w:val="22"/>
                      <w:lang w:val="it-IT"/>
                    </w:rPr>
                    <w:lastRenderedPageBreak/>
                    <w:t>SEC. Cerințele de fonduri proprii totale respective se raportează numai la nivelul Total din formularul MKR SSA TDI.</w:t>
                  </w:r>
                </w:p>
              </w:tc>
            </w:tr>
          </w:tbl>
          <w:p w14:paraId="1CEF7289" w14:textId="53CC955A" w:rsidR="00BD6482" w:rsidRPr="00A24080" w:rsidRDefault="00BD648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3ADA8C1F" w14:textId="77777777" w:rsidTr="003146FA">
              <w:tc>
                <w:tcPr>
                  <w:tcW w:w="774" w:type="dxa"/>
                </w:tcPr>
                <w:p w14:paraId="56F9D8B8"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lastRenderedPageBreak/>
                    <w:t>0325</w:t>
                  </w:r>
                </w:p>
              </w:tc>
              <w:tc>
                <w:tcPr>
                  <w:tcW w:w="4143" w:type="dxa"/>
                </w:tcPr>
                <w:p w14:paraId="49FBE2BC" w14:textId="77777777" w:rsidR="00BD6482" w:rsidRPr="00A24080" w:rsidRDefault="00BD6482"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Cerința de fonduri proprii pentru instrumentele care sunt poziții din securitizare</w:t>
                  </w:r>
                </w:p>
                <w:p w14:paraId="5F36229B"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it-IT"/>
                    </w:rPr>
                    <w:t xml:space="preserve">Cerințele de fonduri proprii totale raportate în coloana 0601 din formularul MKR SSA </w:t>
                  </w:r>
                  <w:r w:rsidRPr="00A24080">
                    <w:rPr>
                      <w:sz w:val="22"/>
                      <w:szCs w:val="22"/>
                      <w:lang w:val="it-IT"/>
                    </w:rPr>
                    <w:lastRenderedPageBreak/>
                    <w:t>SEC. Cerințele de fonduri proprii totale respective se raportează numai la nivelul Total din formularul MKR SSA TDI.</w:t>
                  </w:r>
                </w:p>
              </w:tc>
            </w:tr>
          </w:tbl>
          <w:p w14:paraId="2909BDD3" w14:textId="5EE47FBF" w:rsidR="00BD6482" w:rsidRPr="00A24080" w:rsidRDefault="00BD6482" w:rsidP="0028208B">
            <w:pPr>
              <w:ind w:right="90"/>
              <w:rPr>
                <w:sz w:val="22"/>
                <w:szCs w:val="22"/>
                <w:lang w:val="ro-RO"/>
              </w:rPr>
            </w:pPr>
          </w:p>
        </w:tc>
        <w:tc>
          <w:tcPr>
            <w:tcW w:w="1418" w:type="dxa"/>
          </w:tcPr>
          <w:p w14:paraId="75C40923" w14:textId="42BE6F12" w:rsidR="00BD6482" w:rsidRPr="00A24080" w:rsidRDefault="008F7297"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7C9F7A79" w14:textId="77777777" w:rsidR="00BD6482" w:rsidRPr="00A24080" w:rsidRDefault="00BD6482" w:rsidP="0028208B">
            <w:pPr>
              <w:jc w:val="both"/>
              <w:rPr>
                <w:bCs/>
                <w:sz w:val="22"/>
                <w:szCs w:val="22"/>
                <w:lang w:val="ro-RO"/>
              </w:rPr>
            </w:pPr>
          </w:p>
        </w:tc>
      </w:tr>
      <w:tr w:rsidR="00BD6482" w:rsidRPr="00A24080" w14:paraId="5C700785"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4C0560AC" w14:textId="77777777" w:rsidTr="003146FA">
              <w:tc>
                <w:tcPr>
                  <w:tcW w:w="774" w:type="dxa"/>
                </w:tcPr>
                <w:p w14:paraId="5FD2D8DA" w14:textId="22A0365D"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t>0330</w:t>
                  </w:r>
                </w:p>
              </w:tc>
              <w:tc>
                <w:tcPr>
                  <w:tcW w:w="4143" w:type="dxa"/>
                </w:tcPr>
                <w:p w14:paraId="77526346" w14:textId="77777777" w:rsidR="00BD6482" w:rsidRPr="00A24080" w:rsidRDefault="00BD6482"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Cerința de fonduri proprii pentru portofoliul de tranzacționare pe bază de corelație</w:t>
                  </w:r>
                </w:p>
                <w:p w14:paraId="36D60833" w14:textId="2EB77E4D"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it-IT"/>
                    </w:rPr>
                    <w:t>Cerințele de fonduri proprii totale raportate în coloana 0450 din formularul MKR SSA CTP. Cerințele de fonduri proprii totale respective se raportează numai la nivelul Total din formularul MKR SSA TDI.</w:t>
                  </w:r>
                </w:p>
              </w:tc>
            </w:tr>
          </w:tbl>
          <w:p w14:paraId="7A8040E0" w14:textId="039E9F97" w:rsidR="00BD6482" w:rsidRPr="00A24080" w:rsidRDefault="00BD648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520CE930" w14:textId="77777777" w:rsidTr="003146FA">
              <w:tc>
                <w:tcPr>
                  <w:tcW w:w="774" w:type="dxa"/>
                </w:tcPr>
                <w:p w14:paraId="6D3E45BE"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t>0330</w:t>
                  </w:r>
                </w:p>
              </w:tc>
              <w:tc>
                <w:tcPr>
                  <w:tcW w:w="4143" w:type="dxa"/>
                </w:tcPr>
                <w:p w14:paraId="09068AFB" w14:textId="77777777" w:rsidR="00BD6482" w:rsidRPr="00A24080" w:rsidRDefault="00BD6482"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Cerința de fonduri proprii pentru portofoliul de tranzacționare pe bază de corelație</w:t>
                  </w:r>
                </w:p>
                <w:p w14:paraId="5B0E6386"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it-IT"/>
                    </w:rPr>
                    <w:t>Cerințele de fonduri proprii totale raportate în coloana 0450 din formularul MKR SSA CTP. Cerințele de fonduri proprii totale respective se raportează numai la nivelul Total din formularul MKR SSA TDI.</w:t>
                  </w:r>
                </w:p>
              </w:tc>
            </w:tr>
          </w:tbl>
          <w:p w14:paraId="2545D553" w14:textId="6AA14E36" w:rsidR="00BD6482" w:rsidRPr="00A24080" w:rsidRDefault="00BD6482" w:rsidP="0028208B">
            <w:pPr>
              <w:ind w:right="90"/>
              <w:rPr>
                <w:sz w:val="22"/>
                <w:szCs w:val="22"/>
                <w:lang w:val="ro-RO"/>
              </w:rPr>
            </w:pPr>
          </w:p>
        </w:tc>
        <w:tc>
          <w:tcPr>
            <w:tcW w:w="1418" w:type="dxa"/>
          </w:tcPr>
          <w:p w14:paraId="0315A60D" w14:textId="746D1978" w:rsidR="00BD6482" w:rsidRPr="00A24080" w:rsidRDefault="008F7297"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08FEC7A" w14:textId="77777777" w:rsidR="00BD6482" w:rsidRPr="00A24080" w:rsidRDefault="00BD6482" w:rsidP="0028208B">
            <w:pPr>
              <w:jc w:val="both"/>
              <w:rPr>
                <w:bCs/>
                <w:sz w:val="22"/>
                <w:szCs w:val="22"/>
                <w:lang w:val="ro-RO"/>
              </w:rPr>
            </w:pPr>
          </w:p>
        </w:tc>
      </w:tr>
      <w:tr w:rsidR="00BD6482" w:rsidRPr="00A24080" w14:paraId="1EC34FC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6F460A7A" w14:textId="77777777" w:rsidTr="003146FA">
              <w:tc>
                <w:tcPr>
                  <w:tcW w:w="774" w:type="dxa"/>
                </w:tcPr>
                <w:p w14:paraId="0AACE94D" w14:textId="0417C08D"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t>0350-0390</w:t>
                  </w:r>
                </w:p>
              </w:tc>
              <w:tc>
                <w:tcPr>
                  <w:tcW w:w="4143" w:type="dxa"/>
                </w:tcPr>
                <w:p w14:paraId="1E42948D" w14:textId="77777777" w:rsidR="00BD6482" w:rsidRPr="00A24080" w:rsidRDefault="00BD6482" w:rsidP="0028208B">
                  <w:pPr>
                    <w:framePr w:hSpace="180" w:wrap="around" w:vAnchor="text" w:hAnchor="text" w:x="-612" w:y="1"/>
                    <w:suppressAutoHyphens/>
                    <w:autoSpaceDE w:val="0"/>
                    <w:autoSpaceDN w:val="0"/>
                    <w:adjustRightInd w:val="0"/>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 xml:space="preserve">CERINȚE SUPLIMENTARE PENTRU OPȚIUNI (ALTE RISCURI DECÂT RISCUL DELTA) </w:t>
                  </w:r>
                </w:p>
                <w:p w14:paraId="7B49A8F4" w14:textId="77777777" w:rsidR="00BD6482" w:rsidRPr="00A24080" w:rsidRDefault="00BD6482" w:rsidP="0028208B">
                  <w:pPr>
                    <w:framePr w:hSpace="180" w:wrap="around" w:vAnchor="text" w:hAnchor="text" w:x="-612" w:y="1"/>
                    <w:suppressAutoHyphens/>
                    <w:suppressOverlap/>
                    <w:jc w:val="both"/>
                    <w:rPr>
                      <w:sz w:val="22"/>
                      <w:szCs w:val="22"/>
                      <w:lang w:val="it-IT"/>
                    </w:rPr>
                  </w:pPr>
                  <w:r w:rsidRPr="00A24080">
                    <w:rPr>
                      <w:sz w:val="22"/>
                      <w:szCs w:val="22"/>
                      <w:lang w:val="it-IT"/>
                    </w:rPr>
                    <w:t>Articolul 329 alineatul (3) din Regulamentul (UE) nr. 575/2013.</w:t>
                  </w:r>
                </w:p>
                <w:p w14:paraId="267EF33C" w14:textId="53E3A0A2"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it-IT"/>
                    </w:rPr>
                    <w:t>Cerințele suplimentare pentru opțiuni legate de alte riscuri decât riscul delta se raportează defalcat în funcție de metoda utilizată pentru calcularea acestora.</w:t>
                  </w:r>
                </w:p>
              </w:tc>
            </w:tr>
          </w:tbl>
          <w:p w14:paraId="105347C0" w14:textId="5E6291F7" w:rsidR="00BD6482" w:rsidRPr="00A24080" w:rsidRDefault="00BD648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D6482" w:rsidRPr="00EE7DB0" w14:paraId="6CD2EB8C" w14:textId="77777777" w:rsidTr="003146FA">
              <w:tc>
                <w:tcPr>
                  <w:tcW w:w="774" w:type="dxa"/>
                </w:tcPr>
                <w:p w14:paraId="545ACAA6"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rPr>
                    <w:t>0350-0390</w:t>
                  </w:r>
                </w:p>
              </w:tc>
              <w:tc>
                <w:tcPr>
                  <w:tcW w:w="4143" w:type="dxa"/>
                </w:tcPr>
                <w:p w14:paraId="3A1D37F1" w14:textId="77777777" w:rsidR="00BD6482" w:rsidRPr="00A24080" w:rsidRDefault="00BD6482" w:rsidP="0028208B">
                  <w:pPr>
                    <w:framePr w:hSpace="180" w:wrap="around" w:vAnchor="text" w:hAnchor="text" w:x="-612" w:y="1"/>
                    <w:suppressAutoHyphens/>
                    <w:autoSpaceDE w:val="0"/>
                    <w:autoSpaceDN w:val="0"/>
                    <w:adjustRightInd w:val="0"/>
                    <w:suppressOverlap/>
                    <w:jc w:val="both"/>
                    <w:rPr>
                      <w:rStyle w:val="InstructionsTabelleberschrift"/>
                      <w:rFonts w:ascii="Times New Roman" w:hAnsi="Times New Roman"/>
                      <w:sz w:val="22"/>
                      <w:szCs w:val="22"/>
                      <w:lang w:val="it-IT"/>
                    </w:rPr>
                  </w:pPr>
                  <w:bookmarkStart w:id="21" w:name="_Hlk227853110"/>
                  <w:r w:rsidRPr="00A24080">
                    <w:rPr>
                      <w:rStyle w:val="InstructionsTabelleberschrift"/>
                      <w:rFonts w:ascii="Times New Roman" w:hAnsi="Times New Roman"/>
                      <w:sz w:val="22"/>
                      <w:szCs w:val="22"/>
                      <w:lang w:val="it-IT"/>
                    </w:rPr>
                    <w:t xml:space="preserve">CERINȚE SUPLIMENTARE PENTRU OPȚIUNI (ALTE RISCURI DECÂT RISCUL DELTA) </w:t>
                  </w:r>
                </w:p>
                <w:p w14:paraId="0DF7F923" w14:textId="6D0DA455" w:rsidR="00BD6482" w:rsidRPr="00A24080" w:rsidRDefault="00B86AA8" w:rsidP="0028208B">
                  <w:pPr>
                    <w:framePr w:hSpace="180" w:wrap="around" w:vAnchor="text" w:hAnchor="text" w:x="-612" w:y="1"/>
                    <w:suppressAutoHyphens/>
                    <w:suppressOverlap/>
                    <w:jc w:val="both"/>
                    <w:rPr>
                      <w:sz w:val="22"/>
                      <w:szCs w:val="22"/>
                      <w:lang w:val="it-IT"/>
                    </w:rPr>
                  </w:pPr>
                  <w:r w:rsidRPr="00A24080">
                    <w:rPr>
                      <w:sz w:val="22"/>
                      <w:szCs w:val="22"/>
                      <w:lang w:val="it-IT"/>
                    </w:rPr>
                    <w:t>Pct.424 din Regulamentul nr.XX/2026</w:t>
                  </w:r>
                </w:p>
                <w:p w14:paraId="7D1D6C5B" w14:textId="77777777" w:rsidR="00BD6482" w:rsidRPr="00A24080" w:rsidRDefault="00BD6482" w:rsidP="0028208B">
                  <w:pPr>
                    <w:framePr w:hSpace="180" w:wrap="around" w:vAnchor="text" w:hAnchor="text" w:x="-612" w:y="1"/>
                    <w:ind w:right="90"/>
                    <w:suppressOverlap/>
                    <w:jc w:val="both"/>
                    <w:rPr>
                      <w:sz w:val="22"/>
                      <w:szCs w:val="22"/>
                      <w:lang w:val="ro-RO"/>
                    </w:rPr>
                  </w:pPr>
                  <w:r w:rsidRPr="00A24080">
                    <w:rPr>
                      <w:sz w:val="22"/>
                      <w:szCs w:val="22"/>
                      <w:lang w:val="it-IT"/>
                    </w:rPr>
                    <w:t>Cerințele suplimentare pentru opțiuni legate de alte riscuri decât riscul delta se raportează defalcat în funcție de metoda utilizată pentru calcularea acestora.</w:t>
                  </w:r>
                  <w:bookmarkEnd w:id="21"/>
                </w:p>
              </w:tc>
            </w:tr>
          </w:tbl>
          <w:p w14:paraId="65F45B87" w14:textId="77777777" w:rsidR="00BD6482" w:rsidRPr="00A24080" w:rsidRDefault="00BD6482" w:rsidP="0028208B">
            <w:pPr>
              <w:ind w:right="90"/>
              <w:rPr>
                <w:sz w:val="22"/>
                <w:szCs w:val="22"/>
                <w:lang w:val="ro-RO"/>
              </w:rPr>
            </w:pPr>
          </w:p>
        </w:tc>
        <w:tc>
          <w:tcPr>
            <w:tcW w:w="1418" w:type="dxa"/>
          </w:tcPr>
          <w:p w14:paraId="6A682E85" w14:textId="404287E8" w:rsidR="00BD6482"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9CD9469" w14:textId="77777777" w:rsidR="00BD6482" w:rsidRPr="00A24080" w:rsidRDefault="00BD6482" w:rsidP="0028208B">
            <w:pPr>
              <w:jc w:val="both"/>
              <w:rPr>
                <w:bCs/>
                <w:sz w:val="22"/>
                <w:szCs w:val="22"/>
                <w:lang w:val="ro-RO"/>
              </w:rPr>
            </w:pPr>
          </w:p>
        </w:tc>
      </w:tr>
      <w:tr w:rsidR="00BD6482" w:rsidRPr="00A24080" w14:paraId="05A801E9" w14:textId="77777777" w:rsidTr="0028208B">
        <w:tc>
          <w:tcPr>
            <w:tcW w:w="5143" w:type="dxa"/>
          </w:tcPr>
          <w:p w14:paraId="01D709D8" w14:textId="19893743" w:rsidR="00BD6482" w:rsidRPr="00A24080" w:rsidRDefault="00BD6482" w:rsidP="0028208B">
            <w:pPr>
              <w:ind w:right="90"/>
              <w:jc w:val="both"/>
              <w:rPr>
                <w:sz w:val="22"/>
                <w:szCs w:val="22"/>
              </w:rPr>
            </w:pPr>
            <w:r w:rsidRPr="00A24080">
              <w:rPr>
                <w:sz w:val="22"/>
                <w:szCs w:val="22"/>
              </w:rPr>
              <w:t>5.2.</w:t>
            </w:r>
            <w:r w:rsidR="00BC67BD" w:rsidRPr="00A24080">
              <w:rPr>
                <w:sz w:val="22"/>
                <w:szCs w:val="22"/>
                <w:lang w:val="en-US"/>
              </w:rPr>
              <w:t xml:space="preserve"> </w:t>
            </w:r>
            <w:r w:rsidRPr="00A24080">
              <w:rPr>
                <w:sz w:val="22"/>
                <w:szCs w:val="22"/>
              </w:rPr>
              <w:t>C 19.01 – Riscul de piață: abordarea standardizată simplificată pentru riscul specific aferent securitizărilor (MKR SSA SEC)</w:t>
            </w:r>
          </w:p>
        </w:tc>
        <w:tc>
          <w:tcPr>
            <w:tcW w:w="5103" w:type="dxa"/>
          </w:tcPr>
          <w:p w14:paraId="31A14377" w14:textId="7F7D76B8" w:rsidR="00BD6482" w:rsidRPr="00A24080" w:rsidRDefault="00F23D75" w:rsidP="0028208B">
            <w:pPr>
              <w:ind w:right="90"/>
              <w:jc w:val="both"/>
              <w:rPr>
                <w:sz w:val="22"/>
                <w:szCs w:val="22"/>
              </w:rPr>
            </w:pPr>
            <w:bookmarkStart w:id="22" w:name="_Hlk227937001"/>
            <w:r w:rsidRPr="00A24080">
              <w:rPr>
                <w:b/>
                <w:i/>
                <w:sz w:val="22"/>
                <w:szCs w:val="22"/>
                <w:lang w:val="ro-RO"/>
              </w:rPr>
              <w:t>Secțiunea 3</w:t>
            </w:r>
            <w:r w:rsidRPr="00A24080">
              <w:rPr>
                <w:sz w:val="22"/>
                <w:szCs w:val="22"/>
                <w:lang w:val="ro-RO"/>
              </w:rPr>
              <w:t>.</w:t>
            </w:r>
            <w:r w:rsidR="00BC67BD" w:rsidRPr="00A24080">
              <w:rPr>
                <w:sz w:val="22"/>
                <w:szCs w:val="22"/>
                <w:lang w:val="en-US"/>
              </w:rPr>
              <w:t xml:space="preserve"> </w:t>
            </w:r>
            <w:r w:rsidR="00BD6482" w:rsidRPr="00A24080">
              <w:rPr>
                <w:sz w:val="22"/>
                <w:szCs w:val="22"/>
              </w:rPr>
              <w:t>C 19.01 – Riscul de piață: abordarea standardizată simplificată pentru riscul specific aferent securitizărilor (MKR SSA SEC)</w:t>
            </w:r>
            <w:bookmarkEnd w:id="22"/>
          </w:p>
        </w:tc>
        <w:tc>
          <w:tcPr>
            <w:tcW w:w="1418" w:type="dxa"/>
          </w:tcPr>
          <w:p w14:paraId="12A5F537" w14:textId="3AA1750C" w:rsidR="00BD6482"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3BD0651" w14:textId="77777777" w:rsidR="00BD6482" w:rsidRPr="00A24080" w:rsidRDefault="00BD6482" w:rsidP="0028208B">
            <w:pPr>
              <w:jc w:val="both"/>
              <w:rPr>
                <w:bCs/>
                <w:sz w:val="22"/>
                <w:szCs w:val="22"/>
                <w:lang w:val="ro-RO"/>
              </w:rPr>
            </w:pPr>
          </w:p>
        </w:tc>
      </w:tr>
      <w:tr w:rsidR="00BD6482" w:rsidRPr="00A24080" w14:paraId="5618DDCF" w14:textId="77777777" w:rsidTr="0028208B">
        <w:tc>
          <w:tcPr>
            <w:tcW w:w="5143" w:type="dxa"/>
          </w:tcPr>
          <w:p w14:paraId="6C9991A7" w14:textId="54AC5045" w:rsidR="00BD6482" w:rsidRPr="00A24080" w:rsidRDefault="00BD6482" w:rsidP="0028208B">
            <w:pPr>
              <w:ind w:right="90"/>
              <w:jc w:val="both"/>
              <w:rPr>
                <w:sz w:val="22"/>
                <w:szCs w:val="22"/>
                <w:lang w:val="ro-RO"/>
              </w:rPr>
            </w:pPr>
            <w:r w:rsidRPr="00A24080">
              <w:rPr>
                <w:sz w:val="22"/>
                <w:szCs w:val="22"/>
                <w:lang w:val="ro-RO"/>
              </w:rPr>
              <w:t>5.2.1.</w:t>
            </w:r>
            <w:r w:rsidR="00BC67BD" w:rsidRPr="00A24080">
              <w:rPr>
                <w:sz w:val="22"/>
                <w:szCs w:val="22"/>
                <w:lang w:val="ro-RO"/>
              </w:rPr>
              <w:t xml:space="preserve"> </w:t>
            </w:r>
            <w:r w:rsidRPr="00A24080">
              <w:rPr>
                <w:sz w:val="22"/>
                <w:szCs w:val="22"/>
                <w:lang w:val="ro-RO"/>
              </w:rPr>
              <w:t>Observații generale</w:t>
            </w:r>
          </w:p>
          <w:p w14:paraId="58BD474C" w14:textId="5AEBD911" w:rsidR="00BD6482" w:rsidRPr="00A24080" w:rsidRDefault="00BD6482" w:rsidP="0028208B">
            <w:pPr>
              <w:ind w:right="90"/>
              <w:jc w:val="both"/>
              <w:rPr>
                <w:sz w:val="22"/>
                <w:szCs w:val="22"/>
                <w:lang w:val="ro-RO"/>
              </w:rPr>
            </w:pPr>
            <w:r w:rsidRPr="00A24080">
              <w:rPr>
                <w:sz w:val="22"/>
                <w:szCs w:val="22"/>
                <w:lang w:val="ro-RO"/>
              </w:rPr>
              <w:t>162.</w:t>
            </w:r>
            <w:r w:rsidR="00BC67BD" w:rsidRPr="00A24080">
              <w:rPr>
                <w:sz w:val="22"/>
                <w:szCs w:val="22"/>
                <w:lang w:val="ro-RO"/>
              </w:rPr>
              <w:t xml:space="preserve"> </w:t>
            </w:r>
            <w:r w:rsidRPr="00A24080">
              <w:rPr>
                <w:sz w:val="22"/>
                <w:szCs w:val="22"/>
                <w:lang w:val="ro-RO"/>
              </w:rPr>
              <w:t>Acest formular prevede furnizarea de informații cu privire la poziții (toate/nete și lungi/scurte) și la cerințele de fonduri proprii legate de acestea pentru componenta de risc specific a riscului de poziție aferent securitizărilor/resecuritizărilor deținute în portofoliul de tranzacționare (care nu sunt eligibile pentru portofoliul de tranzacționare pe bază de corelație) în conformitate cu abordarea standardizată.</w:t>
            </w:r>
          </w:p>
        </w:tc>
        <w:tc>
          <w:tcPr>
            <w:tcW w:w="5103" w:type="dxa"/>
          </w:tcPr>
          <w:p w14:paraId="119122ED" w14:textId="377EE3A2" w:rsidR="00BD6482" w:rsidRPr="00A24080" w:rsidRDefault="00397210" w:rsidP="0028208B">
            <w:pPr>
              <w:ind w:right="90"/>
              <w:jc w:val="both"/>
              <w:rPr>
                <w:sz w:val="22"/>
                <w:szCs w:val="22"/>
                <w:lang w:val="ro-RO"/>
              </w:rPr>
            </w:pPr>
            <w:bookmarkStart w:id="23" w:name="_Hlk227937032"/>
            <w:r w:rsidRPr="00A24080">
              <w:rPr>
                <w:sz w:val="22"/>
                <w:szCs w:val="22"/>
                <w:lang w:val="ro-RO"/>
              </w:rPr>
              <w:t>Subsecțiunea 1.</w:t>
            </w:r>
            <w:r w:rsidR="00BC67BD" w:rsidRPr="00A24080">
              <w:rPr>
                <w:sz w:val="22"/>
                <w:szCs w:val="22"/>
                <w:lang w:val="ro-RO"/>
              </w:rPr>
              <w:t xml:space="preserve"> </w:t>
            </w:r>
            <w:r w:rsidR="00BD6482" w:rsidRPr="00A24080">
              <w:rPr>
                <w:sz w:val="22"/>
                <w:szCs w:val="22"/>
                <w:lang w:val="ro-RO"/>
              </w:rPr>
              <w:t>Observații generale</w:t>
            </w:r>
          </w:p>
          <w:p w14:paraId="70650E5D" w14:textId="19EF839D" w:rsidR="00BD6482" w:rsidRPr="00A24080" w:rsidRDefault="00397210" w:rsidP="0028208B">
            <w:pPr>
              <w:ind w:right="90"/>
              <w:jc w:val="both"/>
              <w:rPr>
                <w:sz w:val="22"/>
                <w:szCs w:val="22"/>
                <w:lang w:val="ro-RO"/>
              </w:rPr>
            </w:pPr>
            <w:r w:rsidRPr="00A24080">
              <w:rPr>
                <w:sz w:val="22"/>
                <w:szCs w:val="22"/>
                <w:lang w:val="ro-RO"/>
              </w:rPr>
              <w:t>5</w:t>
            </w:r>
            <w:r w:rsidR="00BD6482" w:rsidRPr="00A24080">
              <w:rPr>
                <w:sz w:val="22"/>
                <w:szCs w:val="22"/>
                <w:lang w:val="ro-RO"/>
              </w:rPr>
              <w:t>.</w:t>
            </w:r>
            <w:r w:rsidR="00BC67BD" w:rsidRPr="00A24080">
              <w:rPr>
                <w:sz w:val="22"/>
                <w:szCs w:val="22"/>
                <w:lang w:val="ro-RO"/>
              </w:rPr>
              <w:t xml:space="preserve"> </w:t>
            </w:r>
            <w:r w:rsidR="00BD6482" w:rsidRPr="00A24080">
              <w:rPr>
                <w:sz w:val="22"/>
                <w:szCs w:val="22"/>
                <w:lang w:val="ro-RO"/>
              </w:rPr>
              <w:t>Acest formular prevede furnizarea de informații cu privire la poziții (toate/nete și lungi/scurte) și la cerințele de fonduri proprii legate de acestea pentru componenta de risc specific a riscului de poziție aferent securitizărilor/resecuritizărilor deținute în portofoliul de tranzacționare (care nu sunt eligibile pentru portofoliul de tranzacționare pe bază de corelație) în conformitate cu abordarea standardizată.</w:t>
            </w:r>
            <w:bookmarkEnd w:id="23"/>
          </w:p>
        </w:tc>
        <w:tc>
          <w:tcPr>
            <w:tcW w:w="1418" w:type="dxa"/>
          </w:tcPr>
          <w:p w14:paraId="6FE50B3B" w14:textId="71FBB6C2" w:rsidR="00BD6482"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0ECC39B" w14:textId="77777777" w:rsidR="00BD6482" w:rsidRPr="00A24080" w:rsidRDefault="00BD6482" w:rsidP="0028208B">
            <w:pPr>
              <w:jc w:val="both"/>
              <w:rPr>
                <w:bCs/>
                <w:sz w:val="22"/>
                <w:szCs w:val="22"/>
                <w:lang w:val="ro-RO"/>
              </w:rPr>
            </w:pPr>
          </w:p>
        </w:tc>
      </w:tr>
      <w:tr w:rsidR="00F03BCD" w:rsidRPr="00A24080" w14:paraId="1CDD1F91" w14:textId="77777777" w:rsidTr="0028208B">
        <w:tc>
          <w:tcPr>
            <w:tcW w:w="5143" w:type="dxa"/>
          </w:tcPr>
          <w:p w14:paraId="4306BE3D" w14:textId="214341BE" w:rsidR="00F03BCD" w:rsidRPr="00A24080" w:rsidRDefault="00F03BCD" w:rsidP="0028208B">
            <w:pPr>
              <w:ind w:right="90"/>
              <w:jc w:val="both"/>
              <w:rPr>
                <w:sz w:val="22"/>
                <w:szCs w:val="22"/>
                <w:lang w:val="ro-RO"/>
              </w:rPr>
            </w:pPr>
            <w:r w:rsidRPr="00A24080">
              <w:rPr>
                <w:sz w:val="22"/>
                <w:szCs w:val="22"/>
                <w:lang w:val="ro-RO"/>
              </w:rPr>
              <w:t>163.</w:t>
            </w:r>
            <w:r w:rsidRPr="00A24080">
              <w:rPr>
                <w:sz w:val="22"/>
                <w:szCs w:val="22"/>
                <w:lang w:val="ro-RO"/>
              </w:rPr>
              <w:tab/>
              <w:t xml:space="preserve"> Formularul MKR SSA SEC prezintă cerința de fonduri proprii numai pentru riscul specific aferent </w:t>
            </w:r>
            <w:r w:rsidRPr="00A24080">
              <w:rPr>
                <w:sz w:val="22"/>
                <w:szCs w:val="22"/>
                <w:lang w:val="ro-RO"/>
              </w:rPr>
              <w:lastRenderedPageBreak/>
              <w:t>pozițiilor din securitizare în conformitate cu articolul 335 din Regulamentul (UE) nr. 575/2013 coroborat cu articolul 337 din regulamentul respectiv. În cazul în care pozițiile din securitizare din portofoliul de tranzacționare sunt acoperite prin instrumente financiare derivate de credit, se aplică articolele 346 și 347 din Regulamentul (UE) nr. 575/2013. Există un singur formular pentru toate pozițiile din portofoliul de tranzacționare, indiferent de abordarea aplicată de instituții pentru a determina ponderea de risc pentru fiecare poziție în conformitate cu partea a treia titlul II capitolul 5 din Regulamentul (UE) nr. 575/2013. Cerințele de fonduri proprii pentru riscul general al acestor poziții se raportează în formularul MKR SSA TDI sau în formularul MKR IM.</w:t>
            </w:r>
          </w:p>
        </w:tc>
        <w:tc>
          <w:tcPr>
            <w:tcW w:w="5103" w:type="dxa"/>
          </w:tcPr>
          <w:p w14:paraId="74BD09FE" w14:textId="426D6EB1" w:rsidR="00F03BCD" w:rsidRPr="00A24080" w:rsidRDefault="00397210" w:rsidP="0028208B">
            <w:pPr>
              <w:ind w:right="90"/>
              <w:jc w:val="both"/>
              <w:rPr>
                <w:sz w:val="22"/>
                <w:szCs w:val="22"/>
                <w:lang w:val="ro-RO"/>
              </w:rPr>
            </w:pPr>
            <w:bookmarkStart w:id="24" w:name="_Hlk227937104"/>
            <w:r w:rsidRPr="00A24080">
              <w:rPr>
                <w:sz w:val="22"/>
                <w:szCs w:val="22"/>
                <w:lang w:val="ro-RO"/>
              </w:rPr>
              <w:lastRenderedPageBreak/>
              <w:t>6</w:t>
            </w:r>
            <w:r w:rsidR="00F03BCD" w:rsidRPr="00A24080">
              <w:rPr>
                <w:sz w:val="22"/>
                <w:szCs w:val="22"/>
                <w:lang w:val="ro-RO"/>
              </w:rPr>
              <w:t>.</w:t>
            </w:r>
            <w:r w:rsidR="00F03BCD" w:rsidRPr="00A24080">
              <w:rPr>
                <w:sz w:val="22"/>
                <w:szCs w:val="22"/>
                <w:lang w:val="ro-RO"/>
              </w:rPr>
              <w:tab/>
              <w:t xml:space="preserve"> Formularul MKR SSA SEC prezintă cerința de fonduri proprii numai pentru riscul specific aferent </w:t>
            </w:r>
            <w:r w:rsidR="00F03BCD" w:rsidRPr="00A24080">
              <w:rPr>
                <w:sz w:val="22"/>
                <w:szCs w:val="22"/>
                <w:lang w:val="ro-RO"/>
              </w:rPr>
              <w:lastRenderedPageBreak/>
              <w:t xml:space="preserve">pozițiilor din securitizare în conformitate cu </w:t>
            </w:r>
            <w:r w:rsidR="009064E0" w:rsidRPr="00A24080">
              <w:rPr>
                <w:sz w:val="22"/>
                <w:szCs w:val="22"/>
                <w:lang w:val="ro-RO"/>
              </w:rPr>
              <w:t>pct.435 din Regulamentul nr.XX/2026</w:t>
            </w:r>
            <w:r w:rsidR="00F03BCD" w:rsidRPr="00A24080">
              <w:rPr>
                <w:sz w:val="22"/>
                <w:szCs w:val="22"/>
                <w:lang w:val="ro-RO"/>
              </w:rPr>
              <w:t xml:space="preserve">coroborat cu </w:t>
            </w:r>
            <w:r w:rsidR="0087025B" w:rsidRPr="00A24080">
              <w:rPr>
                <w:sz w:val="22"/>
                <w:szCs w:val="22"/>
                <w:lang w:val="ro-RO"/>
              </w:rPr>
              <w:t>titlul II, capitolul IV secțiunea 2</w:t>
            </w:r>
            <w:r w:rsidR="003C3B2A" w:rsidRPr="00A24080">
              <w:rPr>
                <w:sz w:val="22"/>
                <w:szCs w:val="22"/>
                <w:lang w:val="ro-RO"/>
              </w:rPr>
              <w:t xml:space="preserve"> subsecțiunea 1</w:t>
            </w:r>
            <w:r w:rsidR="0087025B" w:rsidRPr="00A24080">
              <w:rPr>
                <w:sz w:val="22"/>
                <w:szCs w:val="22"/>
                <w:lang w:val="ro-RO"/>
              </w:rPr>
              <w:t xml:space="preserve"> paragraful 3</w:t>
            </w:r>
            <w:r w:rsidR="00F03BCD" w:rsidRPr="00A24080">
              <w:rPr>
                <w:sz w:val="22"/>
                <w:szCs w:val="22"/>
                <w:lang w:val="ro-RO"/>
              </w:rPr>
              <w:t xml:space="preserve"> din regulamentul respectiv. În cazul în care pozițiile din securitizare din portofoliul de tranzacționare sunt acoperite prin instrumente financiare derivate de credit, se aplică </w:t>
            </w:r>
            <w:r w:rsidR="00281E56" w:rsidRPr="00A24080">
              <w:rPr>
                <w:sz w:val="22"/>
                <w:szCs w:val="22"/>
                <w:lang w:val="ro-RO"/>
              </w:rPr>
              <w:t xml:space="preserve"> titlul II  capitolul IV secțiunea 5 din Regulamentul nr.XX/2026</w:t>
            </w:r>
            <w:r w:rsidR="00F03BCD" w:rsidRPr="00A24080">
              <w:rPr>
                <w:sz w:val="22"/>
                <w:szCs w:val="22"/>
                <w:lang w:val="ro-RO"/>
              </w:rPr>
              <w:t xml:space="preserve">. Există un singur formular pentru toate pozițiile din portofoliul de tranzacționare, indiferent de abordarea aplicată de </w:t>
            </w:r>
            <w:r w:rsidR="001F33C7" w:rsidRPr="00A24080">
              <w:rPr>
                <w:sz w:val="22"/>
                <w:szCs w:val="22"/>
                <w:lang w:val="ro-RO"/>
              </w:rPr>
              <w:t xml:space="preserve">bănci </w:t>
            </w:r>
            <w:r w:rsidR="00F03BCD" w:rsidRPr="00A24080">
              <w:rPr>
                <w:sz w:val="22"/>
                <w:szCs w:val="22"/>
                <w:lang w:val="ro-RO"/>
              </w:rPr>
              <w:t>pentru a determina ponderea de risc pentru fiecare poziție în conformitate cu</w:t>
            </w:r>
            <w:r w:rsidR="001F33C7" w:rsidRPr="00A24080">
              <w:rPr>
                <w:sz w:val="22"/>
                <w:szCs w:val="22"/>
                <w:lang w:val="ro-RO"/>
              </w:rPr>
              <w:t xml:space="preserve"> Regulamentul privind tratamentul prudenţial al securitizărilor, aprobat prin hotărârea Comitetului executiv al Băncii Naționale a Moldovei nr.221/2025 (în continuare – Regulamentul nr.221/2025)</w:t>
            </w:r>
            <w:r w:rsidR="00F03BCD" w:rsidRPr="00A24080">
              <w:rPr>
                <w:sz w:val="22"/>
                <w:szCs w:val="22"/>
                <w:lang w:val="ro-RO"/>
              </w:rPr>
              <w:t>. Cerințele de fonduri proprii pentru riscul general al acestor poziții se raportează în formularul MKR SSA TDI sau în formularul MKR IM.</w:t>
            </w:r>
            <w:bookmarkEnd w:id="24"/>
          </w:p>
        </w:tc>
        <w:tc>
          <w:tcPr>
            <w:tcW w:w="1418" w:type="dxa"/>
          </w:tcPr>
          <w:p w14:paraId="13353B54" w14:textId="2AC84CFF" w:rsidR="00F03BCD" w:rsidRPr="00A24080" w:rsidRDefault="00AA273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7C31C846" w14:textId="77777777" w:rsidR="00F03BCD" w:rsidRPr="00A24080" w:rsidRDefault="00F03BCD" w:rsidP="0028208B">
            <w:pPr>
              <w:jc w:val="both"/>
              <w:rPr>
                <w:bCs/>
                <w:sz w:val="22"/>
                <w:szCs w:val="22"/>
                <w:lang w:val="ro-RO"/>
              </w:rPr>
            </w:pPr>
          </w:p>
        </w:tc>
      </w:tr>
      <w:tr w:rsidR="00F03BCD" w:rsidRPr="00A24080" w14:paraId="6A0F5AA4" w14:textId="77777777" w:rsidTr="0028208B">
        <w:tc>
          <w:tcPr>
            <w:tcW w:w="5143" w:type="dxa"/>
          </w:tcPr>
          <w:p w14:paraId="317AB3CD" w14:textId="00AFE466" w:rsidR="00F03BCD" w:rsidRPr="00A24080" w:rsidRDefault="00F03BCD" w:rsidP="0028208B">
            <w:pPr>
              <w:ind w:right="90"/>
              <w:jc w:val="both"/>
              <w:rPr>
                <w:sz w:val="22"/>
                <w:szCs w:val="22"/>
                <w:lang w:val="ro-RO"/>
              </w:rPr>
            </w:pPr>
            <w:r w:rsidRPr="00A24080">
              <w:rPr>
                <w:sz w:val="22"/>
                <w:szCs w:val="22"/>
                <w:lang w:val="ro-RO"/>
              </w:rPr>
              <w:t>164. Ca alternativă, pozițiile care primesc o pondere de risc de 1 250 % pot fi deduse din CET1 [a se vedea articolul 244 alineatul (1) litera (b), articolul 245 alineatul (1) litera (b) și articolul 253 din Regulamentul (UE) nr. 575/2013]. În acest caz, pozițiile respective trebuie raportate pe rândul 0460 din CA1.</w:t>
            </w:r>
          </w:p>
        </w:tc>
        <w:tc>
          <w:tcPr>
            <w:tcW w:w="5103" w:type="dxa"/>
          </w:tcPr>
          <w:p w14:paraId="4B509976" w14:textId="2CBBE447" w:rsidR="00F03BCD" w:rsidRPr="00A24080" w:rsidRDefault="001F33C7" w:rsidP="0028208B">
            <w:pPr>
              <w:ind w:right="90"/>
              <w:jc w:val="both"/>
              <w:rPr>
                <w:sz w:val="22"/>
                <w:szCs w:val="22"/>
                <w:lang w:val="ro-RO"/>
              </w:rPr>
            </w:pPr>
            <w:bookmarkStart w:id="25" w:name="_Hlk227937131"/>
            <w:r w:rsidRPr="00A24080">
              <w:rPr>
                <w:sz w:val="22"/>
                <w:szCs w:val="22"/>
                <w:lang w:val="ro-RO"/>
              </w:rPr>
              <w:t>7</w:t>
            </w:r>
            <w:r w:rsidR="00F03BCD" w:rsidRPr="00A24080">
              <w:rPr>
                <w:sz w:val="22"/>
                <w:szCs w:val="22"/>
                <w:lang w:val="ro-RO"/>
              </w:rPr>
              <w:t>. Ca alternativă, pozițiile care primesc o pondere de risc de 1 250 % pot fi deduse din CET1 [a se vedea</w:t>
            </w:r>
            <w:r w:rsidRPr="00A24080">
              <w:rPr>
                <w:sz w:val="22"/>
                <w:szCs w:val="22"/>
                <w:lang w:val="ro-RO"/>
              </w:rPr>
              <w:t>subpct.8.2</w:t>
            </w:r>
            <w:r w:rsidR="00F03BCD" w:rsidRPr="00A24080">
              <w:rPr>
                <w:sz w:val="22"/>
                <w:szCs w:val="22"/>
                <w:lang w:val="ro-RO"/>
              </w:rPr>
              <w:t xml:space="preserve">, </w:t>
            </w:r>
            <w:r w:rsidRPr="00A24080">
              <w:rPr>
                <w:sz w:val="22"/>
                <w:szCs w:val="22"/>
                <w:lang w:val="ro-RO"/>
              </w:rPr>
              <w:t>13.2</w:t>
            </w:r>
            <w:r w:rsidR="00F03BCD" w:rsidRPr="00A24080">
              <w:rPr>
                <w:sz w:val="22"/>
                <w:szCs w:val="22"/>
                <w:lang w:val="ro-RO"/>
              </w:rPr>
              <w:t xml:space="preserve"> și </w:t>
            </w:r>
            <w:r w:rsidRPr="00A24080">
              <w:rPr>
                <w:sz w:val="22"/>
                <w:szCs w:val="22"/>
                <w:lang w:val="ro-RO"/>
              </w:rPr>
              <w:t xml:space="preserve">capitolul IV secțiunea 1 subsecțiunea 7 din Regulamentul </w:t>
            </w:r>
            <w:r w:rsidR="006255AB" w:rsidRPr="00A24080">
              <w:rPr>
                <w:sz w:val="22"/>
                <w:szCs w:val="22"/>
                <w:lang w:val="ro-RO"/>
              </w:rPr>
              <w:t>nr.221/2025</w:t>
            </w:r>
            <w:r w:rsidR="00F03BCD" w:rsidRPr="00A24080">
              <w:rPr>
                <w:sz w:val="22"/>
                <w:szCs w:val="22"/>
                <w:lang w:val="ro-RO"/>
              </w:rPr>
              <w:t>]. În acest caz, pozițiile respective trebuie raportate pe rândul 0460 din CA1.</w:t>
            </w:r>
            <w:bookmarkEnd w:id="25"/>
          </w:p>
        </w:tc>
        <w:tc>
          <w:tcPr>
            <w:tcW w:w="1418" w:type="dxa"/>
          </w:tcPr>
          <w:p w14:paraId="6E1C2379" w14:textId="562AEB25" w:rsidR="00F03BC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889D078" w14:textId="77777777" w:rsidR="00F03BCD" w:rsidRPr="00A24080" w:rsidRDefault="00F03BCD" w:rsidP="0028208B">
            <w:pPr>
              <w:jc w:val="both"/>
              <w:rPr>
                <w:bCs/>
                <w:sz w:val="22"/>
                <w:szCs w:val="22"/>
                <w:lang w:val="ro-RO"/>
              </w:rPr>
            </w:pPr>
          </w:p>
        </w:tc>
      </w:tr>
      <w:tr w:rsidR="00BD6482" w:rsidRPr="00A24080" w14:paraId="756542AF" w14:textId="77777777" w:rsidTr="0028208B">
        <w:tc>
          <w:tcPr>
            <w:tcW w:w="5143" w:type="dxa"/>
          </w:tcPr>
          <w:p w14:paraId="0CA78E18" w14:textId="009251B8" w:rsidR="00BD6482" w:rsidRPr="00A24080" w:rsidRDefault="00BD6482" w:rsidP="0028208B">
            <w:pPr>
              <w:ind w:right="90"/>
              <w:jc w:val="both"/>
              <w:rPr>
                <w:sz w:val="22"/>
                <w:szCs w:val="22"/>
                <w:lang w:val="ro-RO"/>
              </w:rPr>
            </w:pPr>
            <w:r w:rsidRPr="00A24080">
              <w:rPr>
                <w:sz w:val="22"/>
                <w:szCs w:val="22"/>
                <w:lang w:val="ro-RO"/>
              </w:rPr>
              <w:t>5.2.2.</w:t>
            </w:r>
            <w:r w:rsidRPr="00A24080">
              <w:rPr>
                <w:sz w:val="22"/>
                <w:szCs w:val="22"/>
                <w:lang w:val="ro-RO"/>
              </w:rPr>
              <w:tab/>
              <w:t>Instrucțiuni privind anumite poziții</w:t>
            </w:r>
          </w:p>
        </w:tc>
        <w:tc>
          <w:tcPr>
            <w:tcW w:w="5103" w:type="dxa"/>
          </w:tcPr>
          <w:p w14:paraId="1302D4EF" w14:textId="3E2B109E" w:rsidR="00BD6482" w:rsidRPr="00A24080" w:rsidRDefault="00BD6482" w:rsidP="0028208B">
            <w:pPr>
              <w:ind w:right="90"/>
              <w:jc w:val="both"/>
              <w:rPr>
                <w:sz w:val="22"/>
                <w:szCs w:val="22"/>
                <w:lang w:val="ro-RO"/>
              </w:rPr>
            </w:pPr>
            <w:r w:rsidRPr="00A24080">
              <w:rPr>
                <w:sz w:val="22"/>
                <w:szCs w:val="22"/>
                <w:lang w:val="ro-RO"/>
              </w:rPr>
              <w:tab/>
              <w:t>Instrucțiuni privind anumite poziții</w:t>
            </w:r>
          </w:p>
        </w:tc>
        <w:tc>
          <w:tcPr>
            <w:tcW w:w="1418" w:type="dxa"/>
          </w:tcPr>
          <w:p w14:paraId="6EAFA0B9" w14:textId="77777777" w:rsidR="00BD6482" w:rsidRPr="00A24080" w:rsidRDefault="00BD6482" w:rsidP="0028208B">
            <w:pPr>
              <w:jc w:val="both"/>
              <w:rPr>
                <w:sz w:val="22"/>
                <w:szCs w:val="22"/>
                <w:lang w:val="ro-RO"/>
              </w:rPr>
            </w:pPr>
          </w:p>
        </w:tc>
        <w:tc>
          <w:tcPr>
            <w:tcW w:w="3544" w:type="dxa"/>
            <w:tcBorders>
              <w:top w:val="single" w:sz="4" w:space="0" w:color="auto"/>
              <w:bottom w:val="single" w:sz="4" w:space="0" w:color="auto"/>
            </w:tcBorders>
          </w:tcPr>
          <w:p w14:paraId="62B5D97C" w14:textId="77777777" w:rsidR="00BD6482" w:rsidRPr="00A24080" w:rsidRDefault="00BD6482" w:rsidP="0028208B">
            <w:pPr>
              <w:jc w:val="both"/>
              <w:rPr>
                <w:bCs/>
                <w:sz w:val="22"/>
                <w:szCs w:val="22"/>
                <w:lang w:val="ro-RO"/>
              </w:rPr>
            </w:pPr>
          </w:p>
        </w:tc>
      </w:tr>
      <w:tr w:rsidR="00BD6482" w:rsidRPr="00A24080" w14:paraId="60AAF2B4"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860A91" w:rsidRPr="00A24080" w14:paraId="1FB961B0" w14:textId="77777777" w:rsidTr="007A1C98">
              <w:tc>
                <w:tcPr>
                  <w:tcW w:w="4917" w:type="dxa"/>
                  <w:gridSpan w:val="2"/>
                  <w:shd w:val="clear" w:color="auto" w:fill="D0CECE" w:themeFill="background2" w:themeFillShade="E6"/>
                </w:tcPr>
                <w:p w14:paraId="4797A59D" w14:textId="6425A8B6" w:rsidR="00860A91" w:rsidRPr="00A24080" w:rsidRDefault="00860A91"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860A91" w:rsidRPr="00EE7DB0" w14:paraId="7048EFC2" w14:textId="77777777" w:rsidTr="00860A91">
              <w:tc>
                <w:tcPr>
                  <w:tcW w:w="774" w:type="dxa"/>
                </w:tcPr>
                <w:p w14:paraId="25E554C3" w14:textId="6A3AF735" w:rsidR="00860A91" w:rsidRPr="00A24080" w:rsidRDefault="00860A91"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4143" w:type="dxa"/>
                </w:tcPr>
                <w:p w14:paraId="732A8C4F" w14:textId="77777777" w:rsidR="00860A91" w:rsidRPr="00A24080" w:rsidRDefault="00860A91" w:rsidP="0028208B">
                  <w:pPr>
                    <w:framePr w:hSpace="180" w:wrap="around" w:vAnchor="text" w:hAnchor="text" w:x="-612" w:y="1"/>
                    <w:suppressAutoHyphens/>
                    <w:autoSpaceDE w:val="0"/>
                    <w:autoSpaceDN w:val="0"/>
                    <w:adjustRightInd w:val="0"/>
                    <w:suppressOverlap/>
                    <w:rPr>
                      <w:b/>
                      <w:bCs/>
                      <w:sz w:val="22"/>
                      <w:szCs w:val="22"/>
                      <w:u w:val="single"/>
                      <w:lang w:val="it-IT"/>
                    </w:rPr>
                  </w:pPr>
                  <w:r w:rsidRPr="00A24080">
                    <w:rPr>
                      <w:b/>
                      <w:sz w:val="22"/>
                      <w:szCs w:val="22"/>
                      <w:u w:val="single"/>
                      <w:lang w:val="it-IT"/>
                    </w:rPr>
                    <w:t>TOATE POZIȚIILE (LUNGI ȘI SCURTE)</w:t>
                  </w:r>
                </w:p>
                <w:p w14:paraId="69F17CAD" w14:textId="4255ADA8" w:rsidR="00860A91" w:rsidRPr="00A24080" w:rsidRDefault="00860A91" w:rsidP="0028208B">
                  <w:pPr>
                    <w:framePr w:hSpace="180" w:wrap="around" w:vAnchor="text" w:hAnchor="text" w:x="-612" w:y="1"/>
                    <w:ind w:right="90"/>
                    <w:suppressOverlap/>
                    <w:jc w:val="both"/>
                    <w:rPr>
                      <w:sz w:val="22"/>
                      <w:szCs w:val="22"/>
                      <w:lang w:val="ro-RO"/>
                    </w:rPr>
                  </w:pPr>
                  <w:r w:rsidRPr="00A24080">
                    <w:rPr>
                      <w:sz w:val="22"/>
                      <w:szCs w:val="22"/>
                      <w:lang w:val="it-IT"/>
                    </w:rPr>
                    <w:t>Articolul</w:t>
                  </w:r>
                  <w:r w:rsidRPr="00A24080">
                    <w:rPr>
                      <w:rStyle w:val="InstructionsTabelleText"/>
                      <w:rFonts w:ascii="Times New Roman" w:hAnsi="Times New Roman"/>
                      <w:sz w:val="22"/>
                      <w:szCs w:val="22"/>
                      <w:lang w:val="it-IT"/>
                    </w:rPr>
                    <w:t xml:space="preserve"> 102 și articolul 105 alineatul (1) </w:t>
                  </w:r>
                  <w:r w:rsidRPr="00A24080">
                    <w:rPr>
                      <w:sz w:val="22"/>
                      <w:szCs w:val="22"/>
                      <w:lang w:val="it-IT"/>
                    </w:rPr>
                    <w:t>din Regulamentul (UE) nr. 575/2013</w:t>
                  </w:r>
                  <w:r w:rsidRPr="00A24080">
                    <w:rPr>
                      <w:rStyle w:val="InstructionsTabelleText"/>
                      <w:rFonts w:ascii="Times New Roman" w:hAnsi="Times New Roman"/>
                      <w:sz w:val="22"/>
                      <w:szCs w:val="22"/>
                      <w:lang w:val="it-IT"/>
                    </w:rPr>
                    <w:t xml:space="preserve"> coroborate cu articolul 337 </w:t>
                  </w:r>
                  <w:r w:rsidRPr="00A24080">
                    <w:rPr>
                      <w:sz w:val="22"/>
                      <w:szCs w:val="22"/>
                      <w:lang w:val="it-IT"/>
                    </w:rPr>
                    <w:t xml:space="preserve">din regulamentul respectiv </w:t>
                  </w:r>
                  <w:r w:rsidRPr="00A24080">
                    <w:rPr>
                      <w:rStyle w:val="InstructionsTabelleText"/>
                      <w:rFonts w:ascii="Times New Roman" w:hAnsi="Times New Roman"/>
                      <w:sz w:val="22"/>
                      <w:szCs w:val="22"/>
                      <w:lang w:val="it-IT"/>
                    </w:rPr>
                    <w:t xml:space="preserve">(poziții din securitizare). În ceea ce privește distincția dintre pozițiile lungi și scurte, care se aplică și în cazul acestor poziții brute, a se vedea </w:t>
                  </w:r>
                  <w:r w:rsidRPr="00A24080">
                    <w:rPr>
                      <w:rStyle w:val="InstructionsTabelleText"/>
                      <w:rFonts w:ascii="Times New Roman" w:hAnsi="Times New Roman"/>
                      <w:sz w:val="22"/>
                      <w:szCs w:val="22"/>
                      <w:lang w:val="it-IT"/>
                    </w:rPr>
                    <w:lastRenderedPageBreak/>
                    <w:t xml:space="preserve">articolul 328 alineatul (2) </w:t>
                  </w:r>
                  <w:r w:rsidRPr="00A24080">
                    <w:rPr>
                      <w:sz w:val="22"/>
                      <w:szCs w:val="22"/>
                      <w:lang w:val="it-IT"/>
                    </w:rPr>
                    <w:t>din Regulamentul (UE) nr. 575/2013</w:t>
                  </w:r>
                  <w:r w:rsidRPr="00A24080">
                    <w:rPr>
                      <w:rStyle w:val="InstructionsTabelleText"/>
                      <w:rFonts w:ascii="Times New Roman" w:hAnsi="Times New Roman"/>
                      <w:sz w:val="22"/>
                      <w:szCs w:val="22"/>
                      <w:lang w:val="it-IT"/>
                    </w:rPr>
                    <w:t xml:space="preserve">. </w:t>
                  </w:r>
                </w:p>
              </w:tc>
            </w:tr>
          </w:tbl>
          <w:p w14:paraId="04F052F8" w14:textId="77777777" w:rsidR="00BD6482" w:rsidRPr="00A24080" w:rsidRDefault="00BD648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860A91" w:rsidRPr="00A24080" w14:paraId="73C09880" w14:textId="77777777" w:rsidTr="007A1C98">
              <w:tc>
                <w:tcPr>
                  <w:tcW w:w="4917" w:type="dxa"/>
                  <w:gridSpan w:val="2"/>
                  <w:shd w:val="clear" w:color="auto" w:fill="D0CECE" w:themeFill="background2" w:themeFillShade="E6"/>
                </w:tcPr>
                <w:p w14:paraId="42633A4E" w14:textId="77777777" w:rsidR="00860A91" w:rsidRPr="00A24080" w:rsidRDefault="00860A91" w:rsidP="0028208B">
                  <w:pPr>
                    <w:framePr w:hSpace="180" w:wrap="around" w:vAnchor="text" w:hAnchor="text" w:x="-612" w:y="1"/>
                    <w:ind w:right="90"/>
                    <w:suppressOverlap/>
                    <w:jc w:val="both"/>
                    <w:rPr>
                      <w:b/>
                      <w:bCs/>
                      <w:sz w:val="22"/>
                      <w:szCs w:val="22"/>
                      <w:lang w:val="ro-RO"/>
                    </w:rPr>
                  </w:pPr>
                  <w:r w:rsidRPr="00A24080">
                    <w:rPr>
                      <w:b/>
                      <w:bCs/>
                      <w:sz w:val="22"/>
                      <w:szCs w:val="22"/>
                      <w:lang w:val="ro-RO"/>
                    </w:rPr>
                    <w:lastRenderedPageBreak/>
                    <w:t>Coloane</w:t>
                  </w:r>
                </w:p>
              </w:tc>
            </w:tr>
            <w:tr w:rsidR="00860A91" w:rsidRPr="00EE7DB0" w14:paraId="1D071B40" w14:textId="77777777" w:rsidTr="003146FA">
              <w:tc>
                <w:tcPr>
                  <w:tcW w:w="774" w:type="dxa"/>
                </w:tcPr>
                <w:p w14:paraId="3EA7625B" w14:textId="77777777" w:rsidR="00860A91" w:rsidRPr="00A24080" w:rsidRDefault="00860A91"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4143" w:type="dxa"/>
                </w:tcPr>
                <w:p w14:paraId="367520A4" w14:textId="77777777" w:rsidR="00860A91" w:rsidRPr="00A24080" w:rsidRDefault="00860A91" w:rsidP="0028208B">
                  <w:pPr>
                    <w:framePr w:hSpace="180" w:wrap="around" w:vAnchor="text" w:hAnchor="text" w:x="-612" w:y="1"/>
                    <w:suppressAutoHyphens/>
                    <w:autoSpaceDE w:val="0"/>
                    <w:autoSpaceDN w:val="0"/>
                    <w:adjustRightInd w:val="0"/>
                    <w:suppressOverlap/>
                    <w:rPr>
                      <w:b/>
                      <w:bCs/>
                      <w:sz w:val="22"/>
                      <w:szCs w:val="22"/>
                      <w:u w:val="single"/>
                      <w:lang w:val="it-IT"/>
                    </w:rPr>
                  </w:pPr>
                  <w:r w:rsidRPr="00A24080">
                    <w:rPr>
                      <w:b/>
                      <w:sz w:val="22"/>
                      <w:szCs w:val="22"/>
                      <w:u w:val="single"/>
                      <w:lang w:val="it-IT"/>
                    </w:rPr>
                    <w:t>TOATE POZIȚIILE (LUNGI ȘI SCURTE)</w:t>
                  </w:r>
                </w:p>
                <w:p w14:paraId="4671F66A" w14:textId="6B767C86" w:rsidR="00860A91" w:rsidRPr="00A24080" w:rsidRDefault="0091121C" w:rsidP="0028208B">
                  <w:pPr>
                    <w:framePr w:hSpace="180" w:wrap="around" w:vAnchor="text" w:hAnchor="text" w:x="-612" w:y="1"/>
                    <w:ind w:right="90"/>
                    <w:suppressOverlap/>
                    <w:jc w:val="both"/>
                    <w:rPr>
                      <w:sz w:val="22"/>
                      <w:szCs w:val="22"/>
                      <w:lang w:val="ro-RO"/>
                    </w:rPr>
                  </w:pPr>
                  <w:r w:rsidRPr="00A24080">
                    <w:rPr>
                      <w:sz w:val="22"/>
                      <w:szCs w:val="22"/>
                      <w:lang w:val="it-IT"/>
                    </w:rPr>
                    <w:t>Titlul I capitolul III secțiunea 1</w:t>
                  </w:r>
                  <w:r w:rsidR="00860A91" w:rsidRPr="00A24080">
                    <w:rPr>
                      <w:rStyle w:val="InstructionsTabelleText"/>
                      <w:rFonts w:ascii="Times New Roman" w:hAnsi="Times New Roman"/>
                      <w:sz w:val="22"/>
                      <w:szCs w:val="22"/>
                      <w:lang w:val="it-IT"/>
                    </w:rPr>
                    <w:t xml:space="preserve"> și </w:t>
                  </w:r>
                  <w:r w:rsidRPr="00A24080">
                    <w:rPr>
                      <w:rStyle w:val="InstructionsTabelleText"/>
                      <w:rFonts w:ascii="Times New Roman" w:hAnsi="Times New Roman"/>
                      <w:sz w:val="22"/>
                      <w:szCs w:val="22"/>
                      <w:lang w:val="it-IT"/>
                    </w:rPr>
                    <w:t>pct.41</w:t>
                  </w:r>
                  <w:r w:rsidR="00860A91" w:rsidRPr="00A24080">
                    <w:rPr>
                      <w:rStyle w:val="InstructionsTabelleText"/>
                      <w:rFonts w:ascii="Times New Roman" w:hAnsi="Times New Roman"/>
                      <w:sz w:val="22"/>
                      <w:szCs w:val="22"/>
                      <w:lang w:val="it-IT"/>
                    </w:rPr>
                    <w:t xml:space="preserve"> </w:t>
                  </w:r>
                  <w:r w:rsidR="00860A91" w:rsidRPr="00A24080">
                    <w:rPr>
                      <w:sz w:val="22"/>
                      <w:szCs w:val="22"/>
                      <w:lang w:val="it-IT"/>
                    </w:rPr>
                    <w:t xml:space="preserve">din Regulamentul </w:t>
                  </w:r>
                  <w:r w:rsidRPr="00A24080">
                    <w:rPr>
                      <w:sz w:val="22"/>
                      <w:szCs w:val="22"/>
                      <w:lang w:val="it-IT"/>
                    </w:rPr>
                    <w:t>nr.XX/2026</w:t>
                  </w:r>
                  <w:r w:rsidR="00860A91" w:rsidRPr="00A24080">
                    <w:rPr>
                      <w:rStyle w:val="InstructionsTabelleText"/>
                      <w:rFonts w:ascii="Times New Roman" w:hAnsi="Times New Roman"/>
                      <w:sz w:val="22"/>
                      <w:szCs w:val="22"/>
                      <w:lang w:val="it-IT"/>
                    </w:rPr>
                    <w:t xml:space="preserve"> coroborate cu </w:t>
                  </w:r>
                  <w:r w:rsidR="0087025B" w:rsidRPr="00A24080">
                    <w:rPr>
                      <w:sz w:val="22"/>
                      <w:szCs w:val="22"/>
                      <w:lang w:val="it-IT"/>
                    </w:rPr>
                    <w:t>titlul II, capitolul IV secțiunea 2</w:t>
                  </w:r>
                  <w:r w:rsidR="003C3B2A" w:rsidRPr="00A24080">
                    <w:rPr>
                      <w:sz w:val="22"/>
                      <w:szCs w:val="22"/>
                      <w:lang w:val="it-IT"/>
                    </w:rPr>
                    <w:t xml:space="preserve"> subsecțiunea 1</w:t>
                  </w:r>
                  <w:r w:rsidR="0087025B" w:rsidRPr="00A24080">
                    <w:rPr>
                      <w:sz w:val="22"/>
                      <w:szCs w:val="22"/>
                      <w:lang w:val="it-IT"/>
                    </w:rPr>
                    <w:t xml:space="preserve"> paragraful 3 </w:t>
                  </w:r>
                  <w:r w:rsidR="00860A91" w:rsidRPr="00A24080">
                    <w:rPr>
                      <w:sz w:val="22"/>
                      <w:szCs w:val="22"/>
                      <w:lang w:val="it-IT"/>
                    </w:rPr>
                    <w:t xml:space="preserve">din regulamentul respectiv </w:t>
                  </w:r>
                  <w:r w:rsidR="00860A91" w:rsidRPr="00A24080">
                    <w:rPr>
                      <w:rStyle w:val="InstructionsTabelleText"/>
                      <w:rFonts w:ascii="Times New Roman" w:hAnsi="Times New Roman"/>
                      <w:sz w:val="22"/>
                      <w:szCs w:val="22"/>
                      <w:lang w:val="it-IT"/>
                    </w:rPr>
                    <w:t xml:space="preserve">(poziții din securitizare). În ceea ce privește distincția dintre pozițiile lungi și scurte, care se aplică </w:t>
                  </w:r>
                  <w:r w:rsidR="00860A91" w:rsidRPr="00A24080">
                    <w:rPr>
                      <w:rStyle w:val="InstructionsTabelleText"/>
                      <w:rFonts w:ascii="Times New Roman" w:hAnsi="Times New Roman"/>
                      <w:sz w:val="22"/>
                      <w:szCs w:val="22"/>
                      <w:lang w:val="it-IT"/>
                    </w:rPr>
                    <w:lastRenderedPageBreak/>
                    <w:t xml:space="preserve">și în cazul acestor poziții brute, a se vedea </w:t>
                  </w:r>
                  <w:r w:rsidR="00660619" w:rsidRPr="00A24080">
                    <w:rPr>
                      <w:rStyle w:val="InstructionsTabelleText"/>
                      <w:rFonts w:ascii="Times New Roman" w:hAnsi="Times New Roman"/>
                      <w:sz w:val="22"/>
                      <w:szCs w:val="22"/>
                      <w:lang w:val="it-IT"/>
                    </w:rPr>
                    <w:t>pct.422 din Regulamentul nr.XX/2026</w:t>
                  </w:r>
                  <w:r w:rsidR="00860A91" w:rsidRPr="00A24080">
                    <w:rPr>
                      <w:rStyle w:val="InstructionsTabelleText"/>
                      <w:rFonts w:ascii="Times New Roman" w:hAnsi="Times New Roman"/>
                      <w:sz w:val="22"/>
                      <w:szCs w:val="22"/>
                      <w:lang w:val="it-IT"/>
                    </w:rPr>
                    <w:t xml:space="preserve">. </w:t>
                  </w:r>
                </w:p>
              </w:tc>
            </w:tr>
          </w:tbl>
          <w:p w14:paraId="12ABB3DC" w14:textId="77777777" w:rsidR="00BD6482" w:rsidRPr="00A24080" w:rsidRDefault="00BD6482" w:rsidP="0028208B">
            <w:pPr>
              <w:ind w:right="90"/>
              <w:jc w:val="both"/>
              <w:rPr>
                <w:sz w:val="22"/>
                <w:szCs w:val="22"/>
                <w:lang w:val="ro-RO"/>
              </w:rPr>
            </w:pPr>
          </w:p>
        </w:tc>
        <w:tc>
          <w:tcPr>
            <w:tcW w:w="1418" w:type="dxa"/>
          </w:tcPr>
          <w:p w14:paraId="601FC880" w14:textId="300EBB4F" w:rsidR="00BD6482" w:rsidRPr="00A24080" w:rsidRDefault="00AA273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E5BBE93" w14:textId="77777777" w:rsidR="00BD6482" w:rsidRPr="00A24080" w:rsidRDefault="00BD6482" w:rsidP="0028208B">
            <w:pPr>
              <w:jc w:val="both"/>
              <w:rPr>
                <w:bCs/>
                <w:sz w:val="22"/>
                <w:szCs w:val="22"/>
                <w:lang w:val="ro-RO"/>
              </w:rPr>
            </w:pPr>
          </w:p>
        </w:tc>
      </w:tr>
      <w:tr w:rsidR="00BC67BD" w:rsidRPr="00A24080" w14:paraId="0944ADF6"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37A6C630" w14:textId="77777777" w:rsidTr="003146FA">
              <w:tc>
                <w:tcPr>
                  <w:tcW w:w="774" w:type="dxa"/>
                </w:tcPr>
                <w:p w14:paraId="6D0CE7AC" w14:textId="5568F7FC"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4143" w:type="dxa"/>
                </w:tcPr>
                <w:p w14:paraId="36FE5384" w14:textId="77777777" w:rsidR="00BC67BD" w:rsidRPr="00A24080" w:rsidRDefault="00BC67BD"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 POZIȚII DEDUSE DIN FONDURILE PROPRII</w:t>
                  </w:r>
                  <w:r w:rsidRPr="00A24080">
                    <w:rPr>
                      <w:sz w:val="22"/>
                      <w:szCs w:val="22"/>
                      <w:lang w:val="it-IT"/>
                    </w:rPr>
                    <w:t xml:space="preserve"> </w:t>
                  </w:r>
                  <w:r w:rsidRPr="00A24080">
                    <w:rPr>
                      <w:b/>
                      <w:sz w:val="22"/>
                      <w:szCs w:val="22"/>
                      <w:u w:val="single"/>
                      <w:lang w:val="it-IT"/>
                    </w:rPr>
                    <w:t>(LUNGI ȘI SCURTE)</w:t>
                  </w:r>
                </w:p>
                <w:p w14:paraId="2320AD58" w14:textId="55D6C80B"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it-IT"/>
                    </w:rPr>
                    <w:t xml:space="preserve"> </w:t>
                  </w:r>
                  <w:r w:rsidRPr="00A24080">
                    <w:rPr>
                      <w:rStyle w:val="InstructionsTabelleText"/>
                      <w:rFonts w:ascii="Times New Roman" w:hAnsi="Times New Roman"/>
                      <w:sz w:val="22"/>
                      <w:szCs w:val="22"/>
                    </w:rPr>
                    <w:t xml:space="preserve">Articolul 244 alineatul (1) litera (b), articolul 245 alineatul (1) litera (b) și articolul 253 </w:t>
                  </w:r>
                  <w:r w:rsidRPr="00A24080">
                    <w:rPr>
                      <w:sz w:val="22"/>
                      <w:szCs w:val="22"/>
                    </w:rPr>
                    <w:t>din Regulamentul (UE) nr. 575/2013</w:t>
                  </w:r>
                </w:p>
              </w:tc>
            </w:tr>
          </w:tbl>
          <w:p w14:paraId="7D3FC806" w14:textId="6CEAC3C9"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5DAE24DA" w14:textId="77777777" w:rsidTr="003146FA">
              <w:tc>
                <w:tcPr>
                  <w:tcW w:w="774" w:type="dxa"/>
                </w:tcPr>
                <w:p w14:paraId="35F2DF10"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4143" w:type="dxa"/>
                </w:tcPr>
                <w:p w14:paraId="41644161" w14:textId="77777777" w:rsidR="00BC67BD" w:rsidRPr="00A24080" w:rsidRDefault="00BC67BD"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 POZIȚII DEDUSE DIN FONDURILE PROPRII</w:t>
                  </w:r>
                  <w:r w:rsidRPr="00A24080">
                    <w:rPr>
                      <w:sz w:val="22"/>
                      <w:szCs w:val="22"/>
                      <w:lang w:val="it-IT"/>
                    </w:rPr>
                    <w:t xml:space="preserve"> </w:t>
                  </w:r>
                  <w:r w:rsidRPr="00A24080">
                    <w:rPr>
                      <w:b/>
                      <w:sz w:val="22"/>
                      <w:szCs w:val="22"/>
                      <w:u w:val="single"/>
                      <w:lang w:val="it-IT"/>
                    </w:rPr>
                    <w:t>(LUNGI ȘI SCURTE)</w:t>
                  </w:r>
                </w:p>
                <w:p w14:paraId="3E2CF48A" w14:textId="219D4E8D"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it-IT"/>
                    </w:rPr>
                    <w:t xml:space="preserve"> </w:t>
                  </w:r>
                  <w:r w:rsidR="006255AB" w:rsidRPr="00A24080">
                    <w:rPr>
                      <w:rStyle w:val="InstructionsTabelleText"/>
                      <w:rFonts w:ascii="Times New Roman" w:hAnsi="Times New Roman"/>
                      <w:sz w:val="22"/>
                      <w:szCs w:val="22"/>
                      <w:lang w:val="pt-BR"/>
                    </w:rPr>
                    <w:t>Subpct.8.2</w:t>
                  </w:r>
                  <w:r w:rsidRPr="00A24080">
                    <w:rPr>
                      <w:rStyle w:val="InstructionsTabelleText"/>
                      <w:rFonts w:ascii="Times New Roman" w:hAnsi="Times New Roman"/>
                      <w:sz w:val="22"/>
                      <w:szCs w:val="22"/>
                      <w:lang w:val="pt-BR"/>
                    </w:rPr>
                    <w:t xml:space="preserve">, </w:t>
                  </w:r>
                  <w:r w:rsidR="006255AB" w:rsidRPr="00A24080">
                    <w:rPr>
                      <w:rStyle w:val="InstructionsTabelleText"/>
                      <w:rFonts w:ascii="Times New Roman" w:hAnsi="Times New Roman"/>
                      <w:sz w:val="22"/>
                      <w:szCs w:val="22"/>
                      <w:lang w:val="pt-BR"/>
                    </w:rPr>
                    <w:t xml:space="preserve"> </w:t>
                  </w:r>
                  <w:r w:rsidR="006255AB" w:rsidRPr="00A24080">
                    <w:rPr>
                      <w:rStyle w:val="InstructionsTabelleText"/>
                      <w:rFonts w:ascii="Times New Roman" w:hAnsi="Times New Roman"/>
                      <w:sz w:val="22"/>
                      <w:szCs w:val="22"/>
                      <w:lang w:val="ro-RO"/>
                    </w:rPr>
                    <w:t>13.2</w:t>
                  </w:r>
                  <w:r w:rsidRPr="00A24080">
                    <w:rPr>
                      <w:rStyle w:val="InstructionsTabelleText"/>
                      <w:rFonts w:ascii="Times New Roman" w:hAnsi="Times New Roman"/>
                      <w:sz w:val="22"/>
                      <w:szCs w:val="22"/>
                      <w:lang w:val="pt-BR"/>
                    </w:rPr>
                    <w:t xml:space="preserve"> și </w:t>
                  </w:r>
                  <w:r w:rsidR="006255AB" w:rsidRPr="00A24080">
                    <w:rPr>
                      <w:rStyle w:val="InstructionsTabelleText"/>
                      <w:rFonts w:ascii="Times New Roman" w:hAnsi="Times New Roman"/>
                      <w:sz w:val="22"/>
                      <w:szCs w:val="22"/>
                      <w:lang w:val="pt-BR"/>
                    </w:rPr>
                    <w:t>capitolul IV secțiunea 1 subsecțiunea 7 din Regulamentul nr.221/2025</w:t>
                  </w:r>
                </w:p>
              </w:tc>
            </w:tr>
          </w:tbl>
          <w:p w14:paraId="12E97CDA" w14:textId="0565F28E" w:rsidR="00BC67BD" w:rsidRPr="00A24080" w:rsidRDefault="00BC67BD" w:rsidP="0028208B">
            <w:pPr>
              <w:ind w:right="90"/>
              <w:jc w:val="both"/>
              <w:rPr>
                <w:sz w:val="22"/>
                <w:szCs w:val="22"/>
                <w:lang w:val="ro-RO"/>
              </w:rPr>
            </w:pPr>
          </w:p>
        </w:tc>
        <w:tc>
          <w:tcPr>
            <w:tcW w:w="1418" w:type="dxa"/>
          </w:tcPr>
          <w:p w14:paraId="2267759D" w14:textId="4AE22E02"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617C746" w14:textId="77777777" w:rsidR="00BC67BD" w:rsidRPr="00A24080" w:rsidRDefault="00BC67BD" w:rsidP="0028208B">
            <w:pPr>
              <w:jc w:val="both"/>
              <w:rPr>
                <w:bCs/>
                <w:sz w:val="22"/>
                <w:szCs w:val="22"/>
                <w:lang w:val="ro-RO"/>
              </w:rPr>
            </w:pPr>
          </w:p>
        </w:tc>
      </w:tr>
      <w:tr w:rsidR="00BC67BD" w:rsidRPr="00A24080" w14:paraId="15E5CAF6"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065EB431" w14:textId="77777777" w:rsidTr="003146FA">
              <w:tc>
                <w:tcPr>
                  <w:tcW w:w="774" w:type="dxa"/>
                </w:tcPr>
                <w:p w14:paraId="140DE247" w14:textId="5025A04B"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4143" w:type="dxa"/>
                </w:tcPr>
                <w:p w14:paraId="4E833463" w14:textId="77777777" w:rsidR="00BC67BD" w:rsidRPr="00A24080" w:rsidRDefault="00BC67BD"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POZIȚII NETE</w:t>
                  </w:r>
                  <w:r w:rsidRPr="00A24080">
                    <w:rPr>
                      <w:sz w:val="22"/>
                      <w:szCs w:val="22"/>
                      <w:lang w:val="it-IT"/>
                    </w:rPr>
                    <w:t xml:space="preserve"> </w:t>
                  </w:r>
                  <w:r w:rsidRPr="00A24080">
                    <w:rPr>
                      <w:b/>
                      <w:sz w:val="22"/>
                      <w:szCs w:val="22"/>
                      <w:u w:val="single"/>
                      <w:lang w:val="it-IT"/>
                    </w:rPr>
                    <w:t>(LUNGI ȘI SCURTE)</w:t>
                  </w:r>
                </w:p>
                <w:p w14:paraId="73AE722A" w14:textId="1A7D9D53"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lang w:val="pt-BR"/>
                    </w:rPr>
                    <w:t>Articolele</w:t>
                  </w:r>
                  <w:r w:rsidRPr="00A24080">
                    <w:rPr>
                      <w:rStyle w:val="InstructionsTabelleText"/>
                      <w:rFonts w:ascii="Times New Roman" w:hAnsi="Times New Roman"/>
                      <w:sz w:val="22"/>
                      <w:szCs w:val="22"/>
                      <w:lang w:val="pt-BR"/>
                    </w:rPr>
                    <w:t xml:space="preserve"> 327, 328, 329 și 334 </w:t>
                  </w:r>
                  <w:r w:rsidRPr="00A24080">
                    <w:rPr>
                      <w:sz w:val="22"/>
                      <w:szCs w:val="22"/>
                      <w:lang w:val="pt-BR"/>
                    </w:rPr>
                    <w:t>din Regulamentul (UE) nr. 575/2013</w:t>
                  </w:r>
                  <w:r w:rsidRPr="00A24080">
                    <w:rPr>
                      <w:rStyle w:val="InstructionsTabelleText"/>
                      <w:rFonts w:ascii="Times New Roman" w:hAnsi="Times New Roman"/>
                      <w:sz w:val="22"/>
                      <w:szCs w:val="22"/>
                      <w:lang w:val="pt-BR"/>
                    </w:rPr>
                    <w:t xml:space="preserve">. </w:t>
                  </w:r>
                  <w:r w:rsidRPr="00A24080">
                    <w:rPr>
                      <w:rStyle w:val="InstructionsTabelleText"/>
                      <w:rFonts w:ascii="Times New Roman" w:hAnsi="Times New Roman"/>
                      <w:sz w:val="22"/>
                      <w:szCs w:val="22"/>
                      <w:lang w:val="it-IT"/>
                    </w:rPr>
                    <w:t xml:space="preserve">În ceea ce privește distincția dintre pozițiile lungi și scurte, a se vedea articolul 328 alineatul (2) </w:t>
                  </w:r>
                  <w:r w:rsidRPr="00A24080">
                    <w:rPr>
                      <w:sz w:val="22"/>
                      <w:szCs w:val="22"/>
                      <w:lang w:val="it-IT"/>
                    </w:rPr>
                    <w:t>din Regulamentul (UE) nr. 575/2013</w:t>
                  </w:r>
                  <w:r w:rsidRPr="00A24080">
                    <w:rPr>
                      <w:rStyle w:val="InstructionsTabelleText"/>
                      <w:rFonts w:ascii="Times New Roman" w:hAnsi="Times New Roman"/>
                      <w:sz w:val="22"/>
                      <w:szCs w:val="22"/>
                      <w:lang w:val="it-IT"/>
                    </w:rPr>
                    <w:t>.</w:t>
                  </w:r>
                </w:p>
              </w:tc>
            </w:tr>
          </w:tbl>
          <w:p w14:paraId="06265DC3" w14:textId="71740C8E"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0D2D37AC" w14:textId="77777777" w:rsidTr="003146FA">
              <w:tc>
                <w:tcPr>
                  <w:tcW w:w="774" w:type="dxa"/>
                </w:tcPr>
                <w:p w14:paraId="7CC8AD69"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4143" w:type="dxa"/>
                </w:tcPr>
                <w:p w14:paraId="39B19CC4" w14:textId="77777777" w:rsidR="00BC67BD" w:rsidRPr="00A24080" w:rsidRDefault="00BC67BD"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POZIȚII NETE</w:t>
                  </w:r>
                  <w:r w:rsidRPr="00A24080">
                    <w:rPr>
                      <w:sz w:val="22"/>
                      <w:szCs w:val="22"/>
                      <w:lang w:val="it-IT"/>
                    </w:rPr>
                    <w:t xml:space="preserve"> </w:t>
                  </w:r>
                  <w:r w:rsidRPr="00A24080">
                    <w:rPr>
                      <w:b/>
                      <w:sz w:val="22"/>
                      <w:szCs w:val="22"/>
                      <w:u w:val="single"/>
                      <w:lang w:val="it-IT"/>
                    </w:rPr>
                    <w:t>(LUNGI ȘI SCURTE)</w:t>
                  </w:r>
                </w:p>
                <w:p w14:paraId="6DD7DC59" w14:textId="5E76BE33" w:rsidR="00BC67BD" w:rsidRPr="00A24080" w:rsidRDefault="00D13669" w:rsidP="0028208B">
                  <w:pPr>
                    <w:framePr w:hSpace="180" w:wrap="around" w:vAnchor="text" w:hAnchor="text" w:x="-612" w:y="1"/>
                    <w:ind w:right="90"/>
                    <w:suppressOverlap/>
                    <w:jc w:val="both"/>
                    <w:rPr>
                      <w:sz w:val="22"/>
                      <w:szCs w:val="22"/>
                      <w:lang w:val="ro-RO"/>
                    </w:rPr>
                  </w:pPr>
                  <w:r w:rsidRPr="00A24080">
                    <w:rPr>
                      <w:sz w:val="22"/>
                      <w:szCs w:val="22"/>
                      <w:lang w:val="it-IT"/>
                    </w:rPr>
                    <w:t>Titlul II capitolul IV secțiunea 1 subsecțiunile 2-4 și secțiunea 2</w:t>
                  </w:r>
                  <w:r w:rsidR="00BC67BD" w:rsidRPr="00A24080">
                    <w:rPr>
                      <w:rStyle w:val="InstructionsTabelleText"/>
                      <w:rFonts w:ascii="Times New Roman" w:hAnsi="Times New Roman"/>
                      <w:sz w:val="22"/>
                      <w:szCs w:val="22"/>
                      <w:lang w:val="it-IT"/>
                    </w:rPr>
                    <w:t xml:space="preserve">. În ceea ce privește distincția dintre pozițiile lungi și scurte, a se vedea </w:t>
                  </w:r>
                  <w:r w:rsidR="00660619" w:rsidRPr="00A24080">
                    <w:rPr>
                      <w:sz w:val="22"/>
                      <w:szCs w:val="22"/>
                      <w:lang w:val="it-IT"/>
                    </w:rPr>
                    <w:t>pct.422 din Regulamentul nr.XX/2026</w:t>
                  </w:r>
                  <w:r w:rsidR="00BC67BD" w:rsidRPr="00A24080">
                    <w:rPr>
                      <w:rStyle w:val="InstructionsTabelleText"/>
                      <w:rFonts w:ascii="Times New Roman" w:hAnsi="Times New Roman"/>
                      <w:sz w:val="22"/>
                      <w:szCs w:val="22"/>
                      <w:lang w:val="it-IT"/>
                    </w:rPr>
                    <w:t>.</w:t>
                  </w:r>
                </w:p>
              </w:tc>
            </w:tr>
          </w:tbl>
          <w:p w14:paraId="08E7BA0A" w14:textId="77777777" w:rsidR="00BC67BD" w:rsidRPr="00A24080" w:rsidRDefault="00BC67BD" w:rsidP="0028208B">
            <w:pPr>
              <w:ind w:right="90"/>
              <w:jc w:val="both"/>
              <w:rPr>
                <w:sz w:val="22"/>
                <w:szCs w:val="22"/>
                <w:lang w:val="ro-RO"/>
              </w:rPr>
            </w:pPr>
          </w:p>
        </w:tc>
        <w:tc>
          <w:tcPr>
            <w:tcW w:w="1418" w:type="dxa"/>
          </w:tcPr>
          <w:p w14:paraId="3CD8CDF3" w14:textId="44022BA4"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461C595" w14:textId="77777777" w:rsidR="00BC67BD" w:rsidRPr="00A24080" w:rsidRDefault="00BC67BD" w:rsidP="0028208B">
            <w:pPr>
              <w:jc w:val="both"/>
              <w:rPr>
                <w:bCs/>
                <w:sz w:val="22"/>
                <w:szCs w:val="22"/>
                <w:lang w:val="ro-RO"/>
              </w:rPr>
            </w:pPr>
          </w:p>
        </w:tc>
      </w:tr>
      <w:tr w:rsidR="00BC67BD" w:rsidRPr="00A24080" w14:paraId="58B79FD6"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30887764" w14:textId="77777777" w:rsidTr="003146FA">
              <w:tc>
                <w:tcPr>
                  <w:tcW w:w="774" w:type="dxa"/>
                </w:tcPr>
                <w:p w14:paraId="7A3363E2" w14:textId="5F731F4E"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0061-0104</w:t>
                  </w:r>
                </w:p>
              </w:tc>
              <w:tc>
                <w:tcPr>
                  <w:tcW w:w="4143" w:type="dxa"/>
                </w:tcPr>
                <w:p w14:paraId="5E84D8DD"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DEFALCAREA POZIȚIILOR NETE PE PONDERI DE RISC</w:t>
                  </w:r>
                </w:p>
                <w:p w14:paraId="298074D9" w14:textId="77777777" w:rsidR="00BC67BD" w:rsidRPr="00A24080" w:rsidRDefault="00BC67BD" w:rsidP="0028208B">
                  <w:pPr>
                    <w:framePr w:hSpace="180" w:wrap="around" w:vAnchor="text" w:hAnchor="text" w:x="-612" w:y="1"/>
                    <w:suppressAutoHyphens/>
                    <w:suppressOverlap/>
                    <w:jc w:val="both"/>
                    <w:rPr>
                      <w:rStyle w:val="InstructionsTabelleText"/>
                      <w:rFonts w:ascii="Times New Roman" w:hAnsi="Times New Roman"/>
                      <w:sz w:val="22"/>
                      <w:szCs w:val="22"/>
                      <w:lang w:val="ro-RO"/>
                    </w:rPr>
                  </w:pPr>
                  <w:r w:rsidRPr="00A24080">
                    <w:rPr>
                      <w:rStyle w:val="InstructionsTabelleText"/>
                      <w:rFonts w:ascii="Times New Roman" w:hAnsi="Times New Roman"/>
                      <w:sz w:val="22"/>
                      <w:szCs w:val="22"/>
                      <w:lang w:val="ro-RO"/>
                    </w:rPr>
                    <w:t xml:space="preserve">Articolele 259-262, tabelele 1 și 2 de la articolul 263, tabelele 3 și 4 de la articolul 264 și articolul 266 </w:t>
                  </w:r>
                  <w:r w:rsidRPr="00A24080">
                    <w:rPr>
                      <w:sz w:val="22"/>
                      <w:szCs w:val="22"/>
                      <w:lang w:val="ro-RO"/>
                    </w:rPr>
                    <w:t>din Regulamentul (UE) nr. 575/2013</w:t>
                  </w:r>
                  <w:r w:rsidRPr="00A24080">
                    <w:rPr>
                      <w:rStyle w:val="InstructionsTabelleText"/>
                      <w:rFonts w:ascii="Times New Roman" w:hAnsi="Times New Roman"/>
                      <w:sz w:val="22"/>
                      <w:szCs w:val="22"/>
                      <w:lang w:val="ro-RO"/>
                    </w:rPr>
                    <w:t xml:space="preserve">. </w:t>
                  </w:r>
                </w:p>
                <w:p w14:paraId="208BDC20" w14:textId="400F6526"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it-IT"/>
                    </w:rPr>
                    <w:t>Defalcarea trebuie realizată separat pentru pozițiile lungi și pentru pozițiile scurte.</w:t>
                  </w:r>
                </w:p>
              </w:tc>
            </w:tr>
          </w:tbl>
          <w:p w14:paraId="5FC5B1A1" w14:textId="1EF40ED0"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5A95D303" w14:textId="77777777" w:rsidTr="003146FA">
              <w:tc>
                <w:tcPr>
                  <w:tcW w:w="774" w:type="dxa"/>
                </w:tcPr>
                <w:p w14:paraId="1ABD8659"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0061-0104</w:t>
                  </w:r>
                </w:p>
              </w:tc>
              <w:tc>
                <w:tcPr>
                  <w:tcW w:w="4143" w:type="dxa"/>
                </w:tcPr>
                <w:p w14:paraId="73D7B508"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DEFALCAREA POZIȚIILOR NETE PE PONDERI DE RISC</w:t>
                  </w:r>
                </w:p>
                <w:p w14:paraId="3548F6A8" w14:textId="71D87840" w:rsidR="00BC67BD" w:rsidRPr="00A24080" w:rsidRDefault="00D13669" w:rsidP="0028208B">
                  <w:pPr>
                    <w:framePr w:hSpace="180" w:wrap="around" w:vAnchor="text" w:hAnchor="text" w:x="-612" w:y="1"/>
                    <w:suppressAutoHyphens/>
                    <w:suppressOverlap/>
                    <w:jc w:val="both"/>
                    <w:rPr>
                      <w:rStyle w:val="InstructionsTabelleText"/>
                      <w:rFonts w:ascii="Times New Roman" w:hAnsi="Times New Roman"/>
                      <w:sz w:val="22"/>
                      <w:szCs w:val="22"/>
                      <w:lang w:val="ro-RO"/>
                    </w:rPr>
                  </w:pPr>
                  <w:r w:rsidRPr="00A24080">
                    <w:rPr>
                      <w:rStyle w:val="InstructionsTabelleText"/>
                      <w:rFonts w:ascii="Times New Roman" w:hAnsi="Times New Roman"/>
                      <w:sz w:val="22"/>
                      <w:szCs w:val="22"/>
                      <w:lang w:val="ro-RO"/>
                    </w:rPr>
                    <w:t>Capitolul IV secțiunea 3 subsecțiunea 1 și 2</w:t>
                  </w:r>
                  <w:r w:rsidR="00BC67BD" w:rsidRPr="00A24080">
                    <w:rPr>
                      <w:rStyle w:val="InstructionsTabelleText"/>
                      <w:rFonts w:ascii="Times New Roman" w:hAnsi="Times New Roman"/>
                      <w:sz w:val="22"/>
                      <w:szCs w:val="22"/>
                      <w:lang w:val="ro-RO"/>
                    </w:rPr>
                    <w:t xml:space="preserve">, tabelele 1 și 2 de la </w:t>
                  </w:r>
                  <w:r w:rsidR="00081CE2" w:rsidRPr="00A24080">
                    <w:rPr>
                      <w:sz w:val="22"/>
                      <w:szCs w:val="22"/>
                      <w:lang w:val="ro-RO"/>
                    </w:rPr>
                    <w:t>subsecțiunea 3</w:t>
                  </w:r>
                  <w:r w:rsidR="00BC67BD" w:rsidRPr="00A24080">
                    <w:rPr>
                      <w:rStyle w:val="InstructionsTabelleText"/>
                      <w:rFonts w:ascii="Times New Roman" w:hAnsi="Times New Roman"/>
                      <w:sz w:val="22"/>
                      <w:szCs w:val="22"/>
                      <w:lang w:val="ro-RO"/>
                    </w:rPr>
                    <w:t xml:space="preserve">, tabelele 3 și 4 de la </w:t>
                  </w:r>
                  <w:r w:rsidR="00081CE2" w:rsidRPr="00A24080">
                    <w:rPr>
                      <w:rStyle w:val="InstructionsTabelleText"/>
                      <w:rFonts w:ascii="Times New Roman" w:hAnsi="Times New Roman"/>
                      <w:sz w:val="22"/>
                      <w:szCs w:val="22"/>
                      <w:lang w:val="ro-RO"/>
                    </w:rPr>
                    <w:t>subsecțiunea 4</w:t>
                  </w:r>
                  <w:r w:rsidR="00BC67BD" w:rsidRPr="00A24080">
                    <w:rPr>
                      <w:rStyle w:val="InstructionsTabelleText"/>
                      <w:rFonts w:ascii="Times New Roman" w:hAnsi="Times New Roman"/>
                      <w:sz w:val="22"/>
                      <w:szCs w:val="22"/>
                      <w:lang w:val="ro-RO"/>
                    </w:rPr>
                    <w:t xml:space="preserve"> </w:t>
                  </w:r>
                  <w:r w:rsidR="00081CE2" w:rsidRPr="00A24080">
                    <w:rPr>
                      <w:rStyle w:val="InstructionsTabelleText"/>
                      <w:rFonts w:ascii="Times New Roman" w:hAnsi="Times New Roman"/>
                      <w:sz w:val="22"/>
                      <w:szCs w:val="22"/>
                      <w:lang w:val="ro-RO"/>
                    </w:rPr>
                    <w:t>din Regulamentul nr.221/2025</w:t>
                  </w:r>
                  <w:r w:rsidR="00BC67BD" w:rsidRPr="00A24080">
                    <w:rPr>
                      <w:rStyle w:val="InstructionsTabelleText"/>
                      <w:rFonts w:ascii="Times New Roman" w:hAnsi="Times New Roman"/>
                      <w:sz w:val="22"/>
                      <w:szCs w:val="22"/>
                      <w:lang w:val="ro-RO"/>
                    </w:rPr>
                    <w:t xml:space="preserve">. </w:t>
                  </w:r>
                </w:p>
                <w:p w14:paraId="4B2B6385"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Defalcarea trebuie realizată separat pentru pozițiile lungi și pentru pozițiile scurte.</w:t>
                  </w:r>
                </w:p>
              </w:tc>
            </w:tr>
          </w:tbl>
          <w:p w14:paraId="3E3C472E" w14:textId="6AB9F60E" w:rsidR="00BC67BD" w:rsidRPr="00A24080" w:rsidRDefault="00BC67BD" w:rsidP="0028208B">
            <w:pPr>
              <w:ind w:right="90"/>
              <w:jc w:val="both"/>
              <w:rPr>
                <w:sz w:val="22"/>
                <w:szCs w:val="22"/>
                <w:lang w:val="ro-RO"/>
              </w:rPr>
            </w:pPr>
          </w:p>
        </w:tc>
        <w:tc>
          <w:tcPr>
            <w:tcW w:w="1418" w:type="dxa"/>
          </w:tcPr>
          <w:p w14:paraId="29837373" w14:textId="2AC39C36"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2F0BE0C" w14:textId="77777777" w:rsidR="00BC67BD" w:rsidRPr="00A24080" w:rsidRDefault="00BC67BD" w:rsidP="0028208B">
            <w:pPr>
              <w:jc w:val="both"/>
              <w:rPr>
                <w:bCs/>
                <w:sz w:val="22"/>
                <w:szCs w:val="22"/>
                <w:lang w:val="ro-RO"/>
              </w:rPr>
            </w:pPr>
          </w:p>
        </w:tc>
      </w:tr>
      <w:tr w:rsidR="00BC67BD" w:rsidRPr="00EE7DB0" w14:paraId="21382A0B"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77D5046F" w14:textId="77777777" w:rsidTr="003146FA">
              <w:tc>
                <w:tcPr>
                  <w:tcW w:w="774" w:type="dxa"/>
                </w:tcPr>
                <w:p w14:paraId="7E5900E7" w14:textId="5468CCDF"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0402-0406</w:t>
                  </w:r>
                </w:p>
              </w:tc>
              <w:tc>
                <w:tcPr>
                  <w:tcW w:w="4143" w:type="dxa"/>
                </w:tcPr>
                <w:p w14:paraId="5388595B"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DEFALCAREA POZIȚIILOR NETE PE ABORDĂRI</w:t>
                  </w:r>
                </w:p>
                <w:p w14:paraId="3784AC5C" w14:textId="30D8E9CD"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Articolul</w:t>
                  </w:r>
                  <w:r w:rsidRPr="00A24080">
                    <w:rPr>
                      <w:rStyle w:val="InstructionsTabelleText"/>
                      <w:rFonts w:ascii="Times New Roman" w:hAnsi="Times New Roman"/>
                      <w:sz w:val="22"/>
                      <w:szCs w:val="22"/>
                    </w:rPr>
                    <w:t xml:space="preserve"> 254 </w:t>
                  </w:r>
                  <w:r w:rsidRPr="00A24080">
                    <w:rPr>
                      <w:sz w:val="22"/>
                      <w:szCs w:val="22"/>
                    </w:rPr>
                    <w:t>din Regulamentul (UE) nr. 575/2013</w:t>
                  </w:r>
                  <w:r w:rsidRPr="00A24080">
                    <w:rPr>
                      <w:rStyle w:val="InstructionsTabelleText"/>
                      <w:rFonts w:ascii="Times New Roman" w:hAnsi="Times New Roman"/>
                      <w:sz w:val="22"/>
                      <w:szCs w:val="22"/>
                    </w:rPr>
                    <w:t xml:space="preserve"> </w:t>
                  </w:r>
                </w:p>
              </w:tc>
            </w:tr>
          </w:tbl>
          <w:p w14:paraId="359F9487" w14:textId="433372D9"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04BD423A" w14:textId="77777777" w:rsidTr="003146FA">
              <w:tc>
                <w:tcPr>
                  <w:tcW w:w="774" w:type="dxa"/>
                </w:tcPr>
                <w:p w14:paraId="485D4535"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0402-0406</w:t>
                  </w:r>
                </w:p>
              </w:tc>
              <w:tc>
                <w:tcPr>
                  <w:tcW w:w="4143" w:type="dxa"/>
                </w:tcPr>
                <w:p w14:paraId="3D34E815" w14:textId="55A605A3" w:rsidR="00BC67BD" w:rsidRPr="00EE7DB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pt-BR"/>
                    </w:rPr>
                  </w:pPr>
                  <w:r w:rsidRPr="00EE7DB0">
                    <w:rPr>
                      <w:b/>
                      <w:sz w:val="22"/>
                      <w:szCs w:val="22"/>
                      <w:u w:val="single"/>
                      <w:lang w:val="pt-BR"/>
                    </w:rPr>
                    <w:t>DEFALCAREA POZIȚIILOR NETE PE ABORDĂRI</w:t>
                  </w:r>
                  <w:r w:rsidR="009A3975" w:rsidRPr="00EE7DB0">
                    <w:rPr>
                      <w:lang w:val="pt-BR"/>
                    </w:rPr>
                    <w:t xml:space="preserve"> </w:t>
                  </w:r>
                  <w:r w:rsidR="009A3975" w:rsidRPr="00EE7DB0">
                    <w:rPr>
                      <w:b/>
                      <w:sz w:val="22"/>
                      <w:szCs w:val="22"/>
                      <w:u w:val="single"/>
                      <w:lang w:val="pt-BR"/>
                    </w:rPr>
                    <w:t>ÎNAINTE DE APLICAREA PLAFONULUI</w:t>
                  </w:r>
                </w:p>
                <w:p w14:paraId="31B841B3" w14:textId="27B660D2" w:rsidR="00BC67BD" w:rsidRPr="00A24080" w:rsidRDefault="001070EE" w:rsidP="0028208B">
                  <w:pPr>
                    <w:framePr w:hSpace="180" w:wrap="around" w:vAnchor="text" w:hAnchor="text" w:x="-612" w:y="1"/>
                    <w:ind w:right="90"/>
                    <w:suppressOverlap/>
                    <w:jc w:val="both"/>
                    <w:rPr>
                      <w:sz w:val="22"/>
                      <w:szCs w:val="22"/>
                      <w:lang w:val="ro-RO"/>
                    </w:rPr>
                  </w:pPr>
                  <w:r w:rsidRPr="00A24080">
                    <w:rPr>
                      <w:sz w:val="22"/>
                      <w:szCs w:val="22"/>
                      <w:lang w:val="ro-RO"/>
                    </w:rPr>
                    <w:t xml:space="preserve"> Capitolul IV secțiunea 2 subsecțiunea 1</w:t>
                  </w:r>
                  <w:r w:rsidR="00BC67BD" w:rsidRPr="00A24080">
                    <w:rPr>
                      <w:rStyle w:val="InstructionsTabelleText"/>
                      <w:rFonts w:ascii="Times New Roman" w:hAnsi="Times New Roman"/>
                      <w:sz w:val="22"/>
                      <w:szCs w:val="22"/>
                    </w:rPr>
                    <w:t xml:space="preserve"> </w:t>
                  </w:r>
                  <w:r w:rsidRPr="00A24080">
                    <w:rPr>
                      <w:sz w:val="22"/>
                      <w:szCs w:val="22"/>
                      <w:lang w:val="ro-RO"/>
                    </w:rPr>
                    <w:t>din Regulamentul nr.221/2025</w:t>
                  </w:r>
                </w:p>
              </w:tc>
            </w:tr>
          </w:tbl>
          <w:p w14:paraId="4611D9A2" w14:textId="0135D668" w:rsidR="00BC67BD" w:rsidRPr="00A24080" w:rsidRDefault="00BC67BD" w:rsidP="0028208B">
            <w:pPr>
              <w:ind w:right="90"/>
              <w:jc w:val="both"/>
              <w:rPr>
                <w:sz w:val="22"/>
                <w:szCs w:val="22"/>
                <w:lang w:val="ro-RO"/>
              </w:rPr>
            </w:pPr>
          </w:p>
        </w:tc>
        <w:tc>
          <w:tcPr>
            <w:tcW w:w="1418" w:type="dxa"/>
          </w:tcPr>
          <w:p w14:paraId="35D6E67B" w14:textId="59339F60"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054D33B" w14:textId="343C664A" w:rsidR="00BC67BD" w:rsidRPr="00A24080" w:rsidRDefault="009A3975" w:rsidP="0028208B">
            <w:pPr>
              <w:jc w:val="both"/>
              <w:rPr>
                <w:bCs/>
                <w:sz w:val="22"/>
                <w:szCs w:val="22"/>
                <w:lang w:val="ro-RO"/>
              </w:rPr>
            </w:pPr>
            <w:r>
              <w:rPr>
                <w:bCs/>
                <w:sz w:val="22"/>
                <w:szCs w:val="22"/>
                <w:lang w:val="ro-RO"/>
              </w:rPr>
              <w:t xml:space="preserve">Denumirea coloanelor </w:t>
            </w:r>
            <w:r w:rsidRPr="009A3975">
              <w:rPr>
                <w:bCs/>
                <w:sz w:val="22"/>
                <w:szCs w:val="22"/>
                <w:lang w:val="ro-RO"/>
              </w:rPr>
              <w:t>0402-0406</w:t>
            </w:r>
            <w:r>
              <w:rPr>
                <w:bCs/>
                <w:sz w:val="22"/>
                <w:szCs w:val="22"/>
                <w:lang w:val="ro-RO"/>
              </w:rPr>
              <w:t xml:space="preserve"> a fost ajustată cu denumirea coloanelor respective din formularul raportului C 19.01.</w:t>
            </w:r>
          </w:p>
        </w:tc>
      </w:tr>
      <w:tr w:rsidR="00BC67BD" w:rsidRPr="00A24080" w14:paraId="5675298B"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79440751" w14:textId="77777777" w:rsidTr="003146FA">
              <w:tc>
                <w:tcPr>
                  <w:tcW w:w="774" w:type="dxa"/>
                </w:tcPr>
                <w:p w14:paraId="42180D4F" w14:textId="26512E2F"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0402</w:t>
                  </w:r>
                </w:p>
              </w:tc>
              <w:tc>
                <w:tcPr>
                  <w:tcW w:w="4143" w:type="dxa"/>
                </w:tcPr>
                <w:p w14:paraId="13659380"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pt-BR"/>
                    </w:rPr>
                  </w:pPr>
                  <w:r w:rsidRPr="00A24080">
                    <w:rPr>
                      <w:b/>
                      <w:sz w:val="22"/>
                      <w:szCs w:val="22"/>
                      <w:u w:val="single"/>
                      <w:lang w:val="pt-BR"/>
                    </w:rPr>
                    <w:t>SEC-IRBA</w:t>
                  </w:r>
                </w:p>
                <w:p w14:paraId="2FC37AA0" w14:textId="3AD8417C"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pt-BR"/>
                    </w:rPr>
                    <w:t xml:space="preserve">Articolele 259 și 260 </w:t>
                  </w:r>
                  <w:r w:rsidRPr="00A24080">
                    <w:rPr>
                      <w:sz w:val="22"/>
                      <w:szCs w:val="22"/>
                      <w:lang w:val="pt-BR"/>
                    </w:rPr>
                    <w:t>din Regulamentul (UE) nr. 575/2013</w:t>
                  </w:r>
                </w:p>
              </w:tc>
            </w:tr>
          </w:tbl>
          <w:p w14:paraId="49E84CD5" w14:textId="0062A417"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7E42FF2B" w14:textId="77777777" w:rsidTr="003146FA">
              <w:tc>
                <w:tcPr>
                  <w:tcW w:w="774" w:type="dxa"/>
                </w:tcPr>
                <w:p w14:paraId="6BA26882"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0402</w:t>
                  </w:r>
                </w:p>
              </w:tc>
              <w:tc>
                <w:tcPr>
                  <w:tcW w:w="4143" w:type="dxa"/>
                </w:tcPr>
                <w:p w14:paraId="50904155"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SEC-IRBA</w:t>
                  </w:r>
                </w:p>
                <w:p w14:paraId="49272854" w14:textId="187A76BE" w:rsidR="00BC67BD" w:rsidRPr="00A24080" w:rsidRDefault="00A024A8" w:rsidP="0028208B">
                  <w:pPr>
                    <w:framePr w:hSpace="180" w:wrap="around" w:vAnchor="text" w:hAnchor="text" w:x="-612" w:y="1"/>
                    <w:ind w:right="90"/>
                    <w:suppressOverlap/>
                    <w:jc w:val="both"/>
                    <w:rPr>
                      <w:sz w:val="22"/>
                      <w:szCs w:val="22"/>
                      <w:lang w:val="ro-RO"/>
                    </w:rPr>
                  </w:pPr>
                  <w:r w:rsidRPr="00A24080">
                    <w:rPr>
                      <w:rFonts w:eastAsiaTheme="minorHAnsi" w:cstheme="minorBidi"/>
                      <w:bCs/>
                      <w:kern w:val="2"/>
                      <w:sz w:val="22"/>
                      <w:szCs w:val="22"/>
                      <w:lang w:val="ro-RO" w:eastAsia="en-US"/>
                    </w:rPr>
                    <w:t xml:space="preserve"> </w:t>
                  </w:r>
                  <w:r w:rsidRPr="00A24080">
                    <w:rPr>
                      <w:bCs/>
                      <w:sz w:val="22"/>
                      <w:szCs w:val="22"/>
                      <w:lang w:val="ro-RO"/>
                    </w:rPr>
                    <w:t>Prevederile aferente</w:t>
                  </w:r>
                  <w:r w:rsidRPr="00A24080">
                    <w:rPr>
                      <w:sz w:val="22"/>
                      <w:szCs w:val="22"/>
                      <w:lang w:val="ro-MD"/>
                    </w:rPr>
                    <w:t xml:space="preserve"> c</w:t>
                  </w:r>
                  <w:r w:rsidRPr="00A24080">
                    <w:rPr>
                      <w:bCs/>
                      <w:sz w:val="22"/>
                      <w:szCs w:val="22"/>
                      <w:lang w:val="ro-RO"/>
                    </w:rPr>
                    <w:t>alculului cuantumurilor ponderate la risc ale expunerilor conform abordării SEC-IRBA și tratamentului securitizărilor STS conform abordării SEC-IRBA</w:t>
                  </w:r>
                  <w:r w:rsidRPr="00A24080">
                    <w:rPr>
                      <w:sz w:val="22"/>
                      <w:szCs w:val="22"/>
                      <w:lang w:val="ro-MD"/>
                    </w:rPr>
                    <w:t xml:space="preserve"> </w:t>
                  </w:r>
                  <w:r w:rsidRPr="00A24080">
                    <w:rPr>
                      <w:bCs/>
                      <w:sz w:val="22"/>
                      <w:szCs w:val="22"/>
                      <w:lang w:val="ro-RO"/>
                    </w:rPr>
                    <w:t>din Regulamentul nr.221/2025.</w:t>
                  </w:r>
                </w:p>
              </w:tc>
            </w:tr>
          </w:tbl>
          <w:p w14:paraId="6FD86436" w14:textId="633DAF27" w:rsidR="00BC67BD" w:rsidRPr="00A24080" w:rsidRDefault="00BC67BD" w:rsidP="0028208B">
            <w:pPr>
              <w:ind w:right="90"/>
              <w:jc w:val="both"/>
              <w:rPr>
                <w:sz w:val="22"/>
                <w:szCs w:val="22"/>
                <w:lang w:val="ro-RO"/>
              </w:rPr>
            </w:pPr>
          </w:p>
        </w:tc>
        <w:tc>
          <w:tcPr>
            <w:tcW w:w="1418" w:type="dxa"/>
          </w:tcPr>
          <w:p w14:paraId="5B896DD7" w14:textId="3F6532DA" w:rsidR="00BC67BD" w:rsidRPr="00A24080" w:rsidRDefault="00A024A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247C59F" w14:textId="77777777" w:rsidR="00BC67BD" w:rsidRPr="00A24080" w:rsidRDefault="00BC67BD" w:rsidP="0028208B">
            <w:pPr>
              <w:jc w:val="both"/>
              <w:rPr>
                <w:bCs/>
                <w:sz w:val="22"/>
                <w:szCs w:val="22"/>
                <w:lang w:val="ro-RO"/>
              </w:rPr>
            </w:pPr>
          </w:p>
        </w:tc>
      </w:tr>
      <w:tr w:rsidR="00BC67BD" w:rsidRPr="00A24080" w14:paraId="5CCA2730"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0BD6AE5E" w14:textId="77777777" w:rsidTr="003146FA">
              <w:tc>
                <w:tcPr>
                  <w:tcW w:w="774" w:type="dxa"/>
                </w:tcPr>
                <w:p w14:paraId="41D99B4C" w14:textId="2C2C954B"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lastRenderedPageBreak/>
                    <w:t>0403</w:t>
                  </w:r>
                </w:p>
              </w:tc>
              <w:tc>
                <w:tcPr>
                  <w:tcW w:w="4143" w:type="dxa"/>
                </w:tcPr>
                <w:p w14:paraId="4568182A"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SEC-SA</w:t>
                  </w:r>
                </w:p>
                <w:p w14:paraId="5427899A" w14:textId="4573ECC2"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Articolele 261 și 262 </w:t>
                  </w:r>
                  <w:r w:rsidRPr="00A24080">
                    <w:rPr>
                      <w:sz w:val="22"/>
                      <w:szCs w:val="22"/>
                    </w:rPr>
                    <w:t>din Regulamentul (UE) nr. 575/2013</w:t>
                  </w:r>
                </w:p>
              </w:tc>
            </w:tr>
          </w:tbl>
          <w:p w14:paraId="304F70BD" w14:textId="124B171A"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31438655" w14:textId="77777777" w:rsidTr="003146FA">
              <w:tc>
                <w:tcPr>
                  <w:tcW w:w="774" w:type="dxa"/>
                </w:tcPr>
                <w:p w14:paraId="6B4420F6"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0403</w:t>
                  </w:r>
                </w:p>
              </w:tc>
              <w:tc>
                <w:tcPr>
                  <w:tcW w:w="4143" w:type="dxa"/>
                </w:tcPr>
                <w:p w14:paraId="2FB15F73"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SEC-SA</w:t>
                  </w:r>
                </w:p>
                <w:p w14:paraId="42A78FC6" w14:textId="432C07CA" w:rsidR="00BC67BD" w:rsidRPr="00A24080" w:rsidRDefault="008B595E" w:rsidP="0028208B">
                  <w:pPr>
                    <w:framePr w:hSpace="180" w:wrap="around" w:vAnchor="text" w:hAnchor="text" w:x="-612" w:y="1"/>
                    <w:ind w:right="90"/>
                    <w:suppressOverlap/>
                    <w:jc w:val="both"/>
                    <w:rPr>
                      <w:sz w:val="22"/>
                      <w:szCs w:val="22"/>
                      <w:lang w:val="ro-RO"/>
                    </w:rPr>
                  </w:pPr>
                  <w:r w:rsidRPr="00A24080">
                    <w:rPr>
                      <w:sz w:val="22"/>
                      <w:szCs w:val="22"/>
                      <w:lang w:val="ro-RO"/>
                    </w:rPr>
                    <w:t xml:space="preserve">Capitolul IV secțiunea 3 </w:t>
                  </w:r>
                  <w:r w:rsidRPr="00A24080">
                    <w:rPr>
                      <w:rStyle w:val="InstructionsTabelleText"/>
                      <w:rFonts w:ascii="Times New Roman" w:hAnsi="Times New Roman"/>
                      <w:sz w:val="22"/>
                      <w:szCs w:val="22"/>
                      <w:lang w:val="ro-RO"/>
                    </w:rPr>
                    <w:t>subsecțiunea 1 și 2 din Regulamentul nr.221/2025</w:t>
                  </w:r>
                </w:p>
              </w:tc>
            </w:tr>
          </w:tbl>
          <w:p w14:paraId="72A4C3C5" w14:textId="293A8D1C" w:rsidR="00BC67BD" w:rsidRPr="00A24080" w:rsidRDefault="00BC67BD" w:rsidP="0028208B">
            <w:pPr>
              <w:ind w:right="90"/>
              <w:jc w:val="both"/>
              <w:rPr>
                <w:sz w:val="22"/>
                <w:szCs w:val="22"/>
                <w:lang w:val="ro-RO"/>
              </w:rPr>
            </w:pPr>
          </w:p>
        </w:tc>
        <w:tc>
          <w:tcPr>
            <w:tcW w:w="1418" w:type="dxa"/>
          </w:tcPr>
          <w:p w14:paraId="35F756DA" w14:textId="719F97F9"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CCBAD74" w14:textId="77777777" w:rsidR="00BC67BD" w:rsidRPr="00A24080" w:rsidRDefault="00BC67BD" w:rsidP="0028208B">
            <w:pPr>
              <w:jc w:val="both"/>
              <w:rPr>
                <w:bCs/>
                <w:sz w:val="22"/>
                <w:szCs w:val="22"/>
                <w:lang w:val="ro-RO"/>
              </w:rPr>
            </w:pPr>
          </w:p>
        </w:tc>
      </w:tr>
      <w:tr w:rsidR="00BC67BD" w:rsidRPr="00A24080" w14:paraId="16325224"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52204590" w14:textId="77777777" w:rsidTr="003146FA">
              <w:tc>
                <w:tcPr>
                  <w:tcW w:w="774" w:type="dxa"/>
                </w:tcPr>
                <w:p w14:paraId="45EC0252" w14:textId="5729294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0404</w:t>
                  </w:r>
                </w:p>
              </w:tc>
              <w:tc>
                <w:tcPr>
                  <w:tcW w:w="4143" w:type="dxa"/>
                </w:tcPr>
                <w:p w14:paraId="61216EB2"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SEC-ERBA</w:t>
                  </w:r>
                </w:p>
                <w:p w14:paraId="0A21EA25" w14:textId="5AA07DB3"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Articolele 263 și 264 </w:t>
                  </w:r>
                  <w:r w:rsidRPr="00A24080">
                    <w:rPr>
                      <w:sz w:val="22"/>
                      <w:szCs w:val="22"/>
                    </w:rPr>
                    <w:t>din Regulamentul (UE) nr. 575/2013</w:t>
                  </w:r>
                </w:p>
              </w:tc>
            </w:tr>
          </w:tbl>
          <w:p w14:paraId="6FC6E660" w14:textId="77777777"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20D97052" w14:textId="77777777" w:rsidTr="003146FA">
              <w:tc>
                <w:tcPr>
                  <w:tcW w:w="774" w:type="dxa"/>
                </w:tcPr>
                <w:p w14:paraId="068537D6"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0404</w:t>
                  </w:r>
                </w:p>
              </w:tc>
              <w:tc>
                <w:tcPr>
                  <w:tcW w:w="4143" w:type="dxa"/>
                </w:tcPr>
                <w:p w14:paraId="3FBBAEC3"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SEC-ERBA</w:t>
                  </w:r>
                </w:p>
                <w:p w14:paraId="1E2C3427" w14:textId="58835977" w:rsidR="00BC67BD" w:rsidRPr="00A24080" w:rsidRDefault="00567AF7" w:rsidP="0028208B">
                  <w:pPr>
                    <w:framePr w:hSpace="180" w:wrap="around" w:vAnchor="text" w:hAnchor="text" w:x="-612" w:y="1"/>
                    <w:ind w:right="90"/>
                    <w:suppressOverlap/>
                    <w:jc w:val="both"/>
                    <w:rPr>
                      <w:sz w:val="22"/>
                      <w:szCs w:val="22"/>
                      <w:lang w:val="ro-RO"/>
                    </w:rPr>
                  </w:pPr>
                  <w:r w:rsidRPr="00A24080">
                    <w:rPr>
                      <w:sz w:val="22"/>
                      <w:szCs w:val="22"/>
                      <w:lang w:val="ro-RO"/>
                    </w:rPr>
                    <w:t>Capitolul IV secțiunea 3 subsecțiunea 3 și 4 din Regulamentul nr.221/2025</w:t>
                  </w:r>
                </w:p>
              </w:tc>
            </w:tr>
          </w:tbl>
          <w:p w14:paraId="3C80F01B" w14:textId="77777777" w:rsidR="00BC67BD" w:rsidRPr="00A24080" w:rsidRDefault="00BC67BD" w:rsidP="0028208B">
            <w:pPr>
              <w:ind w:right="90"/>
              <w:jc w:val="both"/>
              <w:rPr>
                <w:sz w:val="22"/>
                <w:szCs w:val="22"/>
                <w:lang w:val="ro-RO"/>
              </w:rPr>
            </w:pPr>
          </w:p>
        </w:tc>
        <w:tc>
          <w:tcPr>
            <w:tcW w:w="1418" w:type="dxa"/>
          </w:tcPr>
          <w:p w14:paraId="3987FFC5" w14:textId="5E21CF6C"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16BF8BE" w14:textId="1CD6BDA8" w:rsidR="00BC67BD" w:rsidRPr="00A24080" w:rsidRDefault="00BC67BD" w:rsidP="0028208B">
            <w:pPr>
              <w:jc w:val="both"/>
              <w:rPr>
                <w:bCs/>
                <w:sz w:val="22"/>
                <w:szCs w:val="22"/>
                <w:lang w:val="ro-RO"/>
              </w:rPr>
            </w:pPr>
          </w:p>
        </w:tc>
      </w:tr>
      <w:tr w:rsidR="00BC67BD" w:rsidRPr="00A24080" w14:paraId="2D1925B4"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75B284C2" w14:textId="77777777" w:rsidTr="003146FA">
              <w:tc>
                <w:tcPr>
                  <w:tcW w:w="774" w:type="dxa"/>
                </w:tcPr>
                <w:p w14:paraId="3B198106" w14:textId="4635802E"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0405</w:t>
                  </w:r>
                </w:p>
              </w:tc>
              <w:tc>
                <w:tcPr>
                  <w:tcW w:w="4143" w:type="dxa"/>
                </w:tcPr>
                <w:p w14:paraId="0D83442C"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ABORDAREA BAZATĂ PE EVALUĂRI INTERNE</w:t>
                  </w:r>
                </w:p>
                <w:p w14:paraId="5C77A99B" w14:textId="7FDB0F31"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Articolele 254, 265 și 266 alineatul (5) </w:t>
                  </w:r>
                  <w:r w:rsidRPr="00A24080">
                    <w:rPr>
                      <w:sz w:val="22"/>
                      <w:szCs w:val="22"/>
                    </w:rPr>
                    <w:t>din Regulamentul (UE) nr. 575/2013</w:t>
                  </w:r>
                  <w:r w:rsidRPr="00A24080">
                    <w:rPr>
                      <w:rStyle w:val="InstructionsTabelleText"/>
                      <w:rFonts w:ascii="Times New Roman" w:hAnsi="Times New Roman"/>
                      <w:sz w:val="22"/>
                      <w:szCs w:val="22"/>
                    </w:rPr>
                    <w:t>.</w:t>
                  </w:r>
                </w:p>
              </w:tc>
            </w:tr>
          </w:tbl>
          <w:p w14:paraId="5BE6F07A" w14:textId="77777777"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EE7DB0" w14:paraId="688B69B9" w14:textId="77777777" w:rsidTr="003146FA">
              <w:tc>
                <w:tcPr>
                  <w:tcW w:w="774" w:type="dxa"/>
                </w:tcPr>
                <w:p w14:paraId="50B6BD73"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0405</w:t>
                  </w:r>
                </w:p>
              </w:tc>
              <w:tc>
                <w:tcPr>
                  <w:tcW w:w="4143" w:type="dxa"/>
                </w:tcPr>
                <w:p w14:paraId="0D8EBF72" w14:textId="77777777" w:rsidR="00BC67BD" w:rsidRPr="00A24080" w:rsidRDefault="00BC67B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ABORDAREA BAZATĂ PE EVALUĂRI INTERNE</w:t>
                  </w:r>
                </w:p>
                <w:p w14:paraId="385323A6" w14:textId="181E5639" w:rsidR="00BC67BD" w:rsidRPr="00A24080" w:rsidRDefault="00E635A0"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Capitolul IV secțiunea 2 subsecțiunea 1</w:t>
                  </w:r>
                  <w:r w:rsidR="00BC67BD" w:rsidRPr="00A24080">
                    <w:rPr>
                      <w:rStyle w:val="InstructionsTabelleText"/>
                      <w:rFonts w:ascii="Times New Roman" w:hAnsi="Times New Roman"/>
                      <w:sz w:val="22"/>
                      <w:szCs w:val="22"/>
                      <w:lang w:val="it-IT"/>
                    </w:rPr>
                    <w:t>,</w:t>
                  </w:r>
                  <w:r w:rsidR="00A024A8" w:rsidRPr="00A24080">
                    <w:rPr>
                      <w:rFonts w:eastAsiaTheme="minorHAnsi" w:cstheme="minorBidi"/>
                      <w:bCs/>
                      <w:kern w:val="2"/>
                      <w:sz w:val="22"/>
                      <w:szCs w:val="22"/>
                      <w:lang w:val="it-IT" w:eastAsia="en-US"/>
                    </w:rPr>
                    <w:t xml:space="preserve"> </w:t>
                  </w:r>
                  <w:r w:rsidR="00A024A8" w:rsidRPr="00A24080">
                    <w:rPr>
                      <w:bCs/>
                      <w:sz w:val="22"/>
                      <w:szCs w:val="22"/>
                      <w:lang w:val="it-IT"/>
                    </w:rPr>
                    <w:t>prevederi aferente sferei de aplicare și cerinţele operaţionale aferente abordării bazate pe evaluări interne</w:t>
                  </w:r>
                  <w:r w:rsidR="00A024A8" w:rsidRPr="00A24080">
                    <w:rPr>
                      <w:sz w:val="22"/>
                      <w:szCs w:val="22"/>
                      <w:lang w:val="ro-MD"/>
                    </w:rPr>
                    <w:t xml:space="preserve"> </w:t>
                  </w:r>
                  <w:r w:rsidR="00A024A8" w:rsidRPr="00A24080">
                    <w:rPr>
                      <w:bCs/>
                      <w:sz w:val="22"/>
                      <w:szCs w:val="22"/>
                      <w:lang w:val="it-IT"/>
                    </w:rPr>
                    <w:t>din Regulamentul nr.221/2025</w:t>
                  </w:r>
                  <w:r w:rsidR="00BC67BD" w:rsidRPr="00A24080">
                    <w:rPr>
                      <w:rStyle w:val="InstructionsTabelleText"/>
                      <w:rFonts w:ascii="Times New Roman" w:hAnsi="Times New Roman"/>
                      <w:sz w:val="22"/>
                      <w:szCs w:val="22"/>
                      <w:lang w:val="it-IT"/>
                    </w:rPr>
                    <w:t>.</w:t>
                  </w:r>
                </w:p>
              </w:tc>
            </w:tr>
          </w:tbl>
          <w:p w14:paraId="45A454DB" w14:textId="77777777" w:rsidR="00BC67BD" w:rsidRPr="00A24080" w:rsidRDefault="00BC67BD" w:rsidP="0028208B">
            <w:pPr>
              <w:ind w:right="90"/>
              <w:jc w:val="both"/>
              <w:rPr>
                <w:sz w:val="22"/>
                <w:szCs w:val="22"/>
                <w:lang w:val="ro-RO"/>
              </w:rPr>
            </w:pPr>
          </w:p>
        </w:tc>
        <w:tc>
          <w:tcPr>
            <w:tcW w:w="1418" w:type="dxa"/>
          </w:tcPr>
          <w:p w14:paraId="4C583BE9" w14:textId="439A4CCE" w:rsidR="00BC67BD" w:rsidRPr="00A24080" w:rsidRDefault="00A024A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FFF3820" w14:textId="77777777" w:rsidR="00BC67BD" w:rsidRPr="00A24080" w:rsidRDefault="00BC67BD" w:rsidP="0028208B">
            <w:pPr>
              <w:jc w:val="both"/>
              <w:rPr>
                <w:bCs/>
                <w:sz w:val="22"/>
                <w:szCs w:val="22"/>
                <w:lang w:val="ro-RO"/>
              </w:rPr>
            </w:pPr>
          </w:p>
        </w:tc>
      </w:tr>
      <w:tr w:rsidR="00BC67BD" w:rsidRPr="00A24080" w14:paraId="06A3F97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32D8B8A5" w14:textId="77777777" w:rsidTr="003146FA">
              <w:tc>
                <w:tcPr>
                  <w:tcW w:w="774" w:type="dxa"/>
                </w:tcPr>
                <w:p w14:paraId="5C9C046E" w14:textId="4E847FD9"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0900</w:t>
                  </w:r>
                </w:p>
              </w:tc>
              <w:tc>
                <w:tcPr>
                  <w:tcW w:w="4143" w:type="dxa"/>
                </w:tcPr>
                <w:p w14:paraId="4C298EEF" w14:textId="77777777" w:rsidR="00BC67BD" w:rsidRPr="00A24080" w:rsidRDefault="00BC67BD" w:rsidP="0028208B">
                  <w:pPr>
                    <w:framePr w:hSpace="180" w:wrap="around" w:vAnchor="text" w:hAnchor="text" w:x="-612" w:y="1"/>
                    <w:suppressAutoHyphens/>
                    <w:suppressOverlap/>
                    <w:rPr>
                      <w:b/>
                      <w:sz w:val="22"/>
                      <w:szCs w:val="22"/>
                      <w:u w:val="single"/>
                    </w:rPr>
                  </w:pPr>
                  <w:r w:rsidRPr="00A24080">
                    <w:rPr>
                      <w:b/>
                      <w:sz w:val="22"/>
                      <w:szCs w:val="22"/>
                      <w:u w:val="single"/>
                    </w:rPr>
                    <w:t>TRATAMENT SPECIFIC PENTRU TRANȘELE DE RANG SUPERIOR DIN SECURITIZĂRILE DE NPE ELIGIBILE</w:t>
                  </w:r>
                </w:p>
                <w:p w14:paraId="6862D6D6" w14:textId="715D3E43"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Articolul 269a alineatul (3) din Regulamentul (UE) nr. 575/2013</w:t>
                  </w:r>
                </w:p>
              </w:tc>
            </w:tr>
          </w:tbl>
          <w:p w14:paraId="540938CD" w14:textId="77777777"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339E4760" w14:textId="77777777" w:rsidTr="003146FA">
              <w:tc>
                <w:tcPr>
                  <w:tcW w:w="774" w:type="dxa"/>
                </w:tcPr>
                <w:p w14:paraId="4763D6EB"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0900</w:t>
                  </w:r>
                </w:p>
              </w:tc>
              <w:tc>
                <w:tcPr>
                  <w:tcW w:w="4143" w:type="dxa"/>
                </w:tcPr>
                <w:p w14:paraId="5C38C0BF" w14:textId="77777777" w:rsidR="00BC67BD" w:rsidRPr="00A24080" w:rsidRDefault="00BC67BD" w:rsidP="0028208B">
                  <w:pPr>
                    <w:framePr w:hSpace="180" w:wrap="around" w:vAnchor="text" w:hAnchor="text" w:x="-612" w:y="1"/>
                    <w:suppressAutoHyphens/>
                    <w:suppressOverlap/>
                    <w:rPr>
                      <w:b/>
                      <w:sz w:val="22"/>
                      <w:szCs w:val="22"/>
                      <w:u w:val="single"/>
                    </w:rPr>
                  </w:pPr>
                  <w:r w:rsidRPr="00A24080">
                    <w:rPr>
                      <w:b/>
                      <w:sz w:val="22"/>
                      <w:szCs w:val="22"/>
                      <w:u w:val="single"/>
                    </w:rPr>
                    <w:t>TRATAMENT SPECIFIC PENTRU TRANȘELE DE RANG SUPERIOR DIN SECURITIZĂRILE DE NPE ELIGIBILE</w:t>
                  </w:r>
                </w:p>
                <w:p w14:paraId="08475541" w14:textId="5EDE7DAE" w:rsidR="00BC67BD" w:rsidRPr="00A24080" w:rsidRDefault="00E635A0" w:rsidP="0028208B">
                  <w:pPr>
                    <w:framePr w:hSpace="180" w:wrap="around" w:vAnchor="text" w:hAnchor="text" w:x="-612" w:y="1"/>
                    <w:ind w:right="90"/>
                    <w:suppressOverlap/>
                    <w:jc w:val="both"/>
                    <w:rPr>
                      <w:sz w:val="22"/>
                      <w:szCs w:val="22"/>
                      <w:lang w:val="ro-RO"/>
                    </w:rPr>
                  </w:pPr>
                  <w:r w:rsidRPr="00A24080">
                    <w:rPr>
                      <w:sz w:val="22"/>
                      <w:szCs w:val="22"/>
                      <w:lang w:val="ro-RO"/>
                    </w:rPr>
                    <w:t>Pct.88 din Regulamentul nr.221/2025</w:t>
                  </w:r>
                </w:p>
              </w:tc>
            </w:tr>
          </w:tbl>
          <w:p w14:paraId="00D4F5B4" w14:textId="77777777" w:rsidR="00BC67BD" w:rsidRPr="00A24080" w:rsidRDefault="00BC67BD" w:rsidP="0028208B">
            <w:pPr>
              <w:ind w:right="90"/>
              <w:jc w:val="both"/>
              <w:rPr>
                <w:sz w:val="22"/>
                <w:szCs w:val="22"/>
                <w:lang w:val="ro-RO"/>
              </w:rPr>
            </w:pPr>
          </w:p>
        </w:tc>
        <w:tc>
          <w:tcPr>
            <w:tcW w:w="1418" w:type="dxa"/>
          </w:tcPr>
          <w:p w14:paraId="04E2BD15" w14:textId="7DE1596F"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97C7512" w14:textId="77777777" w:rsidR="00BC67BD" w:rsidRPr="00A24080" w:rsidRDefault="00BC67BD" w:rsidP="0028208B">
            <w:pPr>
              <w:jc w:val="both"/>
              <w:rPr>
                <w:bCs/>
                <w:sz w:val="22"/>
                <w:szCs w:val="22"/>
                <w:lang w:val="ro-RO"/>
              </w:rPr>
            </w:pPr>
          </w:p>
        </w:tc>
      </w:tr>
      <w:tr w:rsidR="00BC67BD" w:rsidRPr="00A24080" w14:paraId="0EAE2671"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7651845A" w14:textId="77777777" w:rsidTr="003146FA">
              <w:tc>
                <w:tcPr>
                  <w:tcW w:w="774" w:type="dxa"/>
                </w:tcPr>
                <w:p w14:paraId="55979F52" w14:textId="026A2008"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0406</w:t>
                  </w:r>
                </w:p>
              </w:tc>
              <w:tc>
                <w:tcPr>
                  <w:tcW w:w="4143" w:type="dxa"/>
                </w:tcPr>
                <w:p w14:paraId="3C5B93F2" w14:textId="77777777" w:rsidR="00BC67BD" w:rsidRPr="00A24080" w:rsidRDefault="00BC67BD"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ALTELE (RW = 1 250</w:t>
                  </w:r>
                  <w:r w:rsidRPr="00A24080">
                    <w:rPr>
                      <w:sz w:val="22"/>
                      <w:szCs w:val="22"/>
                    </w:rPr>
                    <w:t xml:space="preserve"> </w:t>
                  </w:r>
                  <w:r w:rsidRPr="00A24080">
                    <w:rPr>
                      <w:b/>
                      <w:sz w:val="22"/>
                      <w:szCs w:val="22"/>
                      <w:u w:val="single"/>
                    </w:rPr>
                    <w:t>%)</w:t>
                  </w:r>
                </w:p>
                <w:p w14:paraId="34C7F6BD" w14:textId="204777DF" w:rsidR="00BC67BD" w:rsidRPr="00A24080" w:rsidRDefault="00BC67B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Articolul 254 alineatul (7) </w:t>
                  </w:r>
                  <w:r w:rsidRPr="00A24080">
                    <w:rPr>
                      <w:sz w:val="22"/>
                      <w:szCs w:val="22"/>
                    </w:rPr>
                    <w:t>din Regulamentul (UE) nr. 575/2013</w:t>
                  </w:r>
                </w:p>
              </w:tc>
            </w:tr>
          </w:tbl>
          <w:p w14:paraId="176473E6" w14:textId="77777777" w:rsidR="00BC67BD" w:rsidRPr="00A24080" w:rsidRDefault="00BC67B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BC67BD" w:rsidRPr="00A24080" w14:paraId="3A2446B6" w14:textId="77777777" w:rsidTr="003146FA">
              <w:tc>
                <w:tcPr>
                  <w:tcW w:w="774" w:type="dxa"/>
                </w:tcPr>
                <w:p w14:paraId="5A250085" w14:textId="77777777" w:rsidR="00BC67BD" w:rsidRPr="00A24080" w:rsidRDefault="00BC67BD" w:rsidP="0028208B">
                  <w:pPr>
                    <w:framePr w:hSpace="180" w:wrap="around" w:vAnchor="text" w:hAnchor="text" w:x="-612" w:y="1"/>
                    <w:ind w:right="90"/>
                    <w:suppressOverlap/>
                    <w:jc w:val="both"/>
                    <w:rPr>
                      <w:sz w:val="22"/>
                      <w:szCs w:val="22"/>
                      <w:lang w:val="ro-RO"/>
                    </w:rPr>
                  </w:pPr>
                  <w:r w:rsidRPr="00A24080">
                    <w:rPr>
                      <w:sz w:val="22"/>
                      <w:szCs w:val="22"/>
                    </w:rPr>
                    <w:t>0406</w:t>
                  </w:r>
                </w:p>
              </w:tc>
              <w:tc>
                <w:tcPr>
                  <w:tcW w:w="4143" w:type="dxa"/>
                </w:tcPr>
                <w:p w14:paraId="5891D591" w14:textId="77777777" w:rsidR="00BC67BD" w:rsidRPr="00A24080" w:rsidRDefault="00BC67BD"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ALTELE (RW = 1 250</w:t>
                  </w:r>
                  <w:r w:rsidRPr="00A24080">
                    <w:rPr>
                      <w:sz w:val="22"/>
                      <w:szCs w:val="22"/>
                    </w:rPr>
                    <w:t xml:space="preserve"> </w:t>
                  </w:r>
                  <w:r w:rsidRPr="00A24080">
                    <w:rPr>
                      <w:b/>
                      <w:sz w:val="22"/>
                      <w:szCs w:val="22"/>
                      <w:u w:val="single"/>
                    </w:rPr>
                    <w:t>%)</w:t>
                  </w:r>
                </w:p>
                <w:p w14:paraId="6DBB010D" w14:textId="43C40697" w:rsidR="00BC67BD" w:rsidRPr="00A24080" w:rsidRDefault="001070EE"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Pct.49 din Regulamentul nr.221/2025</w:t>
                  </w:r>
                </w:p>
              </w:tc>
            </w:tr>
          </w:tbl>
          <w:p w14:paraId="03BF09F0" w14:textId="77777777" w:rsidR="00BC67BD" w:rsidRPr="00A24080" w:rsidRDefault="00BC67BD" w:rsidP="0028208B">
            <w:pPr>
              <w:ind w:right="90"/>
              <w:jc w:val="both"/>
              <w:rPr>
                <w:sz w:val="22"/>
                <w:szCs w:val="22"/>
                <w:lang w:val="ro-RO"/>
              </w:rPr>
            </w:pPr>
          </w:p>
        </w:tc>
        <w:tc>
          <w:tcPr>
            <w:tcW w:w="1418" w:type="dxa"/>
          </w:tcPr>
          <w:p w14:paraId="52ECE553" w14:textId="36726D35" w:rsidR="00BC67B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5267046" w14:textId="0CBDFEA2" w:rsidR="00BC67BD" w:rsidRPr="00A24080" w:rsidRDefault="00BC67BD" w:rsidP="0028208B">
            <w:pPr>
              <w:jc w:val="both"/>
              <w:rPr>
                <w:bCs/>
                <w:sz w:val="22"/>
                <w:szCs w:val="22"/>
                <w:lang w:val="ro-RO"/>
              </w:rPr>
            </w:pPr>
          </w:p>
        </w:tc>
      </w:tr>
      <w:tr w:rsidR="00E04B1E" w:rsidRPr="00A24080" w14:paraId="134C1F37"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E04B1E" w:rsidRPr="00EE7DB0" w14:paraId="73073F78" w14:textId="77777777" w:rsidTr="003146FA">
              <w:tc>
                <w:tcPr>
                  <w:tcW w:w="774" w:type="dxa"/>
                </w:tcPr>
                <w:p w14:paraId="304F6CC7" w14:textId="3772464A"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rPr>
                    <w:t>0530-0540</w:t>
                  </w:r>
                </w:p>
              </w:tc>
              <w:tc>
                <w:tcPr>
                  <w:tcW w:w="4143" w:type="dxa"/>
                </w:tcPr>
                <w:p w14:paraId="35FF5595" w14:textId="77777777" w:rsidR="00E04B1E" w:rsidRPr="00A24080" w:rsidRDefault="00E04B1E" w:rsidP="0028208B">
                  <w:pPr>
                    <w:framePr w:hSpace="180" w:wrap="around" w:vAnchor="text" w:hAnchor="text" w:x="-612" w:y="1"/>
                    <w:suppressAutoHyphens/>
                    <w:autoSpaceDE w:val="0"/>
                    <w:autoSpaceDN w:val="0"/>
                    <w:adjustRightInd w:val="0"/>
                    <w:suppressOverlap/>
                    <w:rPr>
                      <w:b/>
                      <w:bCs/>
                      <w:sz w:val="22"/>
                      <w:szCs w:val="22"/>
                      <w:u w:val="single"/>
                      <w:lang w:val="pt-BR"/>
                    </w:rPr>
                  </w:pPr>
                  <w:r w:rsidRPr="00A24080">
                    <w:rPr>
                      <w:b/>
                      <w:sz w:val="22"/>
                      <w:szCs w:val="22"/>
                      <w:u w:val="single"/>
                      <w:lang w:val="pt-BR"/>
                    </w:rPr>
                    <w:t>EFECT GLOBAL (AJUSTARE) CA URMARE A ÎNCĂLCĂRII DISPOZIȚIILOR CAPITOLULUI 2 DIN REGULAMENTUL (UE) 2017/2402</w:t>
                  </w:r>
                </w:p>
                <w:p w14:paraId="720CE056" w14:textId="1F8300A9" w:rsidR="00E04B1E" w:rsidRPr="00A24080" w:rsidRDefault="00E04B1E"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pt-BR"/>
                    </w:rPr>
                    <w:t xml:space="preserve">Articolul 270a </w:t>
                  </w:r>
                  <w:r w:rsidRPr="00A24080">
                    <w:rPr>
                      <w:sz w:val="22"/>
                      <w:szCs w:val="22"/>
                      <w:lang w:val="pt-BR"/>
                    </w:rPr>
                    <w:t>din Regulamentul (UE) nr. 575/2013</w:t>
                  </w:r>
                </w:p>
              </w:tc>
            </w:tr>
          </w:tbl>
          <w:p w14:paraId="5DE214F6" w14:textId="77777777" w:rsidR="00E04B1E" w:rsidRPr="00A24080" w:rsidRDefault="00E04B1E"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E04B1E" w:rsidRPr="00A24080" w14:paraId="6F709E0F" w14:textId="77777777" w:rsidTr="003146FA">
              <w:tc>
                <w:tcPr>
                  <w:tcW w:w="774" w:type="dxa"/>
                </w:tcPr>
                <w:p w14:paraId="05E75444" w14:textId="77777777"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rPr>
                    <w:t>0530-0540</w:t>
                  </w:r>
                </w:p>
              </w:tc>
              <w:tc>
                <w:tcPr>
                  <w:tcW w:w="4143" w:type="dxa"/>
                </w:tcPr>
                <w:p w14:paraId="16987944" w14:textId="523DA493" w:rsidR="00E04B1E" w:rsidRPr="00A24080" w:rsidRDefault="00E04B1E" w:rsidP="0028208B">
                  <w:pPr>
                    <w:framePr w:hSpace="180" w:wrap="around" w:vAnchor="text" w:hAnchor="text" w:x="-612" w:y="1"/>
                    <w:suppressAutoHyphens/>
                    <w:autoSpaceDE w:val="0"/>
                    <w:autoSpaceDN w:val="0"/>
                    <w:adjustRightInd w:val="0"/>
                    <w:suppressOverlap/>
                    <w:rPr>
                      <w:b/>
                      <w:bCs/>
                      <w:sz w:val="22"/>
                      <w:szCs w:val="22"/>
                      <w:u w:val="single"/>
                      <w:lang w:val="pt-BR"/>
                    </w:rPr>
                  </w:pPr>
                  <w:r w:rsidRPr="00A24080">
                    <w:rPr>
                      <w:b/>
                      <w:sz w:val="22"/>
                      <w:szCs w:val="22"/>
                      <w:u w:val="single"/>
                      <w:lang w:val="pt-BR"/>
                    </w:rPr>
                    <w:t xml:space="preserve">EFECT GLOBAL (AJUSTARE) CA URMARE A ÎNCĂLCĂRII DISPOZIȚIILOR </w:t>
                  </w:r>
                  <w:r w:rsidR="006B558B" w:rsidRPr="00A24080">
                    <w:rPr>
                      <w:b/>
                      <w:bCs/>
                      <w:sz w:val="22"/>
                      <w:szCs w:val="22"/>
                      <w:u w:val="single"/>
                      <w:lang w:val="pt-BR"/>
                    </w:rPr>
                    <w:t>PRIVIND OBLIGAŢIA DE DILIGENŢĂ ŞI PRIVIND GESTIONAREA RISCURILOR</w:t>
                  </w:r>
                </w:p>
                <w:p w14:paraId="7270E0E5" w14:textId="4A7D5BED" w:rsidR="00E04B1E" w:rsidRPr="00A24080" w:rsidRDefault="002E173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pt-BR"/>
                    </w:rPr>
                    <w:t>Pct.92 din Regulamentul nr.221/2025</w:t>
                  </w:r>
                </w:p>
              </w:tc>
            </w:tr>
          </w:tbl>
          <w:p w14:paraId="454B0E3D" w14:textId="77777777" w:rsidR="00E04B1E" w:rsidRPr="00A24080" w:rsidRDefault="00E04B1E" w:rsidP="0028208B">
            <w:pPr>
              <w:ind w:right="90"/>
              <w:jc w:val="both"/>
              <w:rPr>
                <w:sz w:val="22"/>
                <w:szCs w:val="22"/>
                <w:lang w:val="ro-RO"/>
              </w:rPr>
            </w:pPr>
          </w:p>
        </w:tc>
        <w:tc>
          <w:tcPr>
            <w:tcW w:w="1418" w:type="dxa"/>
          </w:tcPr>
          <w:p w14:paraId="6B6E1113" w14:textId="36F494CA" w:rsidR="00E04B1E"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891FAB6" w14:textId="77777777" w:rsidR="00E04B1E" w:rsidRPr="00A24080" w:rsidRDefault="00E04B1E" w:rsidP="0028208B">
            <w:pPr>
              <w:jc w:val="both"/>
              <w:rPr>
                <w:bCs/>
                <w:sz w:val="22"/>
                <w:szCs w:val="22"/>
                <w:lang w:val="ro-RO"/>
              </w:rPr>
            </w:pPr>
          </w:p>
        </w:tc>
      </w:tr>
      <w:tr w:rsidR="00E04B1E" w:rsidRPr="00A24080" w14:paraId="5289BE8C"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E04B1E" w:rsidRPr="00EE7DB0" w14:paraId="5EBBB5CE" w14:textId="77777777" w:rsidTr="003146FA">
              <w:tc>
                <w:tcPr>
                  <w:tcW w:w="774" w:type="dxa"/>
                </w:tcPr>
                <w:p w14:paraId="781AE516" w14:textId="310E2FB8"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rPr>
                    <w:t>0570</w:t>
                  </w:r>
                </w:p>
              </w:tc>
              <w:tc>
                <w:tcPr>
                  <w:tcW w:w="4143" w:type="dxa"/>
                </w:tcPr>
                <w:p w14:paraId="08497C3D" w14:textId="77777777" w:rsidR="00E04B1E" w:rsidRPr="00A24080" w:rsidRDefault="00E04B1E" w:rsidP="0028208B">
                  <w:pPr>
                    <w:framePr w:hSpace="180" w:wrap="around" w:vAnchor="text" w:hAnchor="text" w:x="-612" w:y="1"/>
                    <w:suppressAutoHyphens/>
                    <w:autoSpaceDE w:val="0"/>
                    <w:autoSpaceDN w:val="0"/>
                    <w:adjustRightInd w:val="0"/>
                    <w:suppressOverlap/>
                    <w:rPr>
                      <w:b/>
                      <w:bCs/>
                      <w:sz w:val="22"/>
                      <w:szCs w:val="22"/>
                      <w:u w:val="single"/>
                      <w:lang w:val="ro-RO"/>
                    </w:rPr>
                  </w:pPr>
                  <w:r w:rsidRPr="00A24080">
                    <w:rPr>
                      <w:b/>
                      <w:sz w:val="22"/>
                      <w:szCs w:val="22"/>
                      <w:u w:val="single"/>
                      <w:lang w:val="ro-RO"/>
                    </w:rPr>
                    <w:t xml:space="preserve">ÎNAINTE DE APLICAREA PLAFONULUI </w:t>
                  </w:r>
                </w:p>
                <w:p w14:paraId="3AD37EFE" w14:textId="062FF433"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lang w:val="ro-RO"/>
                    </w:rPr>
                    <w:t xml:space="preserve">Articolul 337 din Regulamentul (UE) nr. 575/2013, fără a ține cont de marja de apreciere prevăzută la articolul 335 din </w:t>
                  </w:r>
                  <w:r w:rsidRPr="00A24080">
                    <w:rPr>
                      <w:sz w:val="22"/>
                      <w:szCs w:val="22"/>
                      <w:lang w:val="ro-RO"/>
                    </w:rPr>
                    <w:lastRenderedPageBreak/>
                    <w:t>regulamentul respectiv, care permite instituțiilor să aplice produsului dintre pondere și poziția netă un plafon echivalent cu cuantumul maxim al pierderii posibile ca urmare a riscului de nerambursare.</w:t>
                  </w:r>
                </w:p>
              </w:tc>
            </w:tr>
          </w:tbl>
          <w:p w14:paraId="01C793AF" w14:textId="77777777" w:rsidR="00E04B1E" w:rsidRPr="00A24080" w:rsidRDefault="00E04B1E"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E04B1E" w:rsidRPr="00EE7DB0" w14:paraId="0D4E720D" w14:textId="77777777" w:rsidTr="003146FA">
              <w:tc>
                <w:tcPr>
                  <w:tcW w:w="774" w:type="dxa"/>
                </w:tcPr>
                <w:p w14:paraId="4E6CA2CE" w14:textId="77777777"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rPr>
                    <w:lastRenderedPageBreak/>
                    <w:t>0570</w:t>
                  </w:r>
                </w:p>
              </w:tc>
              <w:tc>
                <w:tcPr>
                  <w:tcW w:w="4143" w:type="dxa"/>
                </w:tcPr>
                <w:p w14:paraId="38AE8E54" w14:textId="77777777" w:rsidR="00E04B1E" w:rsidRPr="00A24080" w:rsidRDefault="00E04B1E" w:rsidP="0028208B">
                  <w:pPr>
                    <w:framePr w:hSpace="180" w:wrap="around" w:vAnchor="text" w:hAnchor="text" w:x="-612" w:y="1"/>
                    <w:suppressAutoHyphens/>
                    <w:autoSpaceDE w:val="0"/>
                    <w:autoSpaceDN w:val="0"/>
                    <w:adjustRightInd w:val="0"/>
                    <w:suppressOverlap/>
                    <w:rPr>
                      <w:b/>
                      <w:bCs/>
                      <w:sz w:val="22"/>
                      <w:szCs w:val="22"/>
                      <w:u w:val="single"/>
                      <w:lang w:val="ro-RO"/>
                    </w:rPr>
                  </w:pPr>
                  <w:r w:rsidRPr="00A24080">
                    <w:rPr>
                      <w:b/>
                      <w:sz w:val="22"/>
                      <w:szCs w:val="22"/>
                      <w:u w:val="single"/>
                      <w:lang w:val="ro-RO"/>
                    </w:rPr>
                    <w:t xml:space="preserve">ÎNAINTE DE APLICAREA PLAFONULUI </w:t>
                  </w:r>
                </w:p>
                <w:p w14:paraId="1B971006" w14:textId="57EDD922" w:rsidR="00E04B1E" w:rsidRPr="00A24080" w:rsidRDefault="0087025B" w:rsidP="0028208B">
                  <w:pPr>
                    <w:framePr w:hSpace="180" w:wrap="around" w:vAnchor="text" w:hAnchor="text" w:x="-612" w:y="1"/>
                    <w:ind w:right="90"/>
                    <w:suppressOverlap/>
                    <w:jc w:val="both"/>
                    <w:rPr>
                      <w:sz w:val="22"/>
                      <w:szCs w:val="22"/>
                      <w:lang w:val="ro-RO"/>
                    </w:rPr>
                  </w:pPr>
                  <w:r w:rsidRPr="00A24080">
                    <w:rPr>
                      <w:sz w:val="22"/>
                      <w:szCs w:val="22"/>
                      <w:lang w:val="ro-RO"/>
                    </w:rPr>
                    <w:t xml:space="preserve">Titlul II, capitolul IV secțiunea 2 </w:t>
                  </w:r>
                  <w:r w:rsidR="003C3B2A" w:rsidRPr="00A24080">
                    <w:rPr>
                      <w:sz w:val="22"/>
                      <w:szCs w:val="22"/>
                      <w:lang w:val="ro-RO"/>
                    </w:rPr>
                    <w:t xml:space="preserve">subsecțiunea 1 </w:t>
                  </w:r>
                  <w:r w:rsidRPr="00A24080">
                    <w:rPr>
                      <w:sz w:val="22"/>
                      <w:szCs w:val="22"/>
                      <w:lang w:val="ro-RO"/>
                    </w:rPr>
                    <w:t>paragraful 3 din Regulamentul nr.XX/2026</w:t>
                  </w:r>
                  <w:r w:rsidR="00E04B1E" w:rsidRPr="00A24080">
                    <w:rPr>
                      <w:sz w:val="22"/>
                      <w:szCs w:val="22"/>
                      <w:lang w:val="ro-RO"/>
                    </w:rPr>
                    <w:t xml:space="preserve">, fără a ține cont </w:t>
                  </w:r>
                  <w:r w:rsidR="00E04B1E" w:rsidRPr="00A24080">
                    <w:rPr>
                      <w:sz w:val="22"/>
                      <w:szCs w:val="22"/>
                      <w:lang w:val="ro-RO"/>
                    </w:rPr>
                    <w:lastRenderedPageBreak/>
                    <w:t xml:space="preserve">de marja de apreciere prevăzută la </w:t>
                  </w:r>
                  <w:r w:rsidR="009064E0" w:rsidRPr="00A24080">
                    <w:rPr>
                      <w:sz w:val="22"/>
                      <w:szCs w:val="22"/>
                      <w:lang w:val="ro-RO"/>
                    </w:rPr>
                    <w:t>pct.435</w:t>
                  </w:r>
                  <w:r w:rsidR="00E04B1E" w:rsidRPr="00A24080">
                    <w:rPr>
                      <w:sz w:val="22"/>
                      <w:szCs w:val="22"/>
                      <w:lang w:val="ro-RO"/>
                    </w:rPr>
                    <w:t xml:space="preserve"> din regulamentul respectiv, care permite </w:t>
                  </w:r>
                  <w:r w:rsidR="002E1738" w:rsidRPr="00A24080">
                    <w:rPr>
                      <w:sz w:val="22"/>
                      <w:szCs w:val="22"/>
                      <w:lang w:val="ro-RO"/>
                    </w:rPr>
                    <w:t xml:space="preserve">băncilor </w:t>
                  </w:r>
                  <w:r w:rsidR="00E04B1E" w:rsidRPr="00A24080">
                    <w:rPr>
                      <w:sz w:val="22"/>
                      <w:szCs w:val="22"/>
                      <w:lang w:val="ro-RO"/>
                    </w:rPr>
                    <w:t>să aplice produsului dintre pondere și poziția netă un plafon echivalent cu cuantumul maxim al pierderii posibile ca urmare a riscului de nerambursare.</w:t>
                  </w:r>
                </w:p>
              </w:tc>
            </w:tr>
          </w:tbl>
          <w:p w14:paraId="6079595E" w14:textId="77777777" w:rsidR="00E04B1E" w:rsidRPr="00A24080" w:rsidRDefault="00E04B1E" w:rsidP="0028208B">
            <w:pPr>
              <w:ind w:right="90"/>
              <w:jc w:val="both"/>
              <w:rPr>
                <w:sz w:val="22"/>
                <w:szCs w:val="22"/>
                <w:lang w:val="ro-RO"/>
              </w:rPr>
            </w:pPr>
          </w:p>
        </w:tc>
        <w:tc>
          <w:tcPr>
            <w:tcW w:w="1418" w:type="dxa"/>
          </w:tcPr>
          <w:p w14:paraId="2A665F37" w14:textId="4017D4EF" w:rsidR="00E04B1E" w:rsidRPr="00A24080" w:rsidRDefault="00AA273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45F9952" w14:textId="77777777" w:rsidR="00E04B1E" w:rsidRPr="00A24080" w:rsidRDefault="00E04B1E" w:rsidP="0028208B">
            <w:pPr>
              <w:jc w:val="both"/>
              <w:rPr>
                <w:bCs/>
                <w:sz w:val="22"/>
                <w:szCs w:val="22"/>
                <w:lang w:val="ro-RO"/>
              </w:rPr>
            </w:pPr>
          </w:p>
        </w:tc>
      </w:tr>
      <w:tr w:rsidR="00E04B1E" w:rsidRPr="009A3975" w14:paraId="15C87D0D"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E04B1E" w:rsidRPr="00EE7DB0" w14:paraId="4FFD2393" w14:textId="77777777" w:rsidTr="003146FA">
              <w:tc>
                <w:tcPr>
                  <w:tcW w:w="774" w:type="dxa"/>
                </w:tcPr>
                <w:p w14:paraId="623A9060" w14:textId="20317B52"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rPr>
                    <w:t>0601</w:t>
                  </w:r>
                </w:p>
              </w:tc>
              <w:tc>
                <w:tcPr>
                  <w:tcW w:w="4143" w:type="dxa"/>
                </w:tcPr>
                <w:p w14:paraId="2554AD8A" w14:textId="77777777" w:rsidR="00E04B1E" w:rsidRPr="00A24080" w:rsidRDefault="00E04B1E" w:rsidP="0028208B">
                  <w:pPr>
                    <w:framePr w:hSpace="180" w:wrap="around" w:vAnchor="text" w:hAnchor="text" w:x="-612" w:y="1"/>
                    <w:suppressAutoHyphens/>
                    <w:autoSpaceDE w:val="0"/>
                    <w:autoSpaceDN w:val="0"/>
                    <w:adjustRightInd w:val="0"/>
                    <w:suppressOverlap/>
                    <w:rPr>
                      <w:b/>
                      <w:bCs/>
                      <w:sz w:val="22"/>
                      <w:szCs w:val="22"/>
                      <w:u w:val="single"/>
                      <w:lang w:val="pt-BR"/>
                    </w:rPr>
                  </w:pPr>
                  <w:r w:rsidRPr="00A24080">
                    <w:rPr>
                      <w:b/>
                      <w:sz w:val="22"/>
                      <w:szCs w:val="22"/>
                      <w:u w:val="single"/>
                      <w:lang w:val="pt-BR"/>
                    </w:rPr>
                    <w:t>DUPĂ APLICAREA PLAFONULUI/TOTAL CERINȚE DE FONDURI PROPRII ÎNAINTE DE APLICAREA FACTORULUI DE MULTIPLICARE</w:t>
                  </w:r>
                </w:p>
                <w:p w14:paraId="7BC1AC55" w14:textId="3C925C2D"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lang w:val="pt-BR"/>
                    </w:rPr>
                    <w:t xml:space="preserve">Articolul 337 din Regulamentul (UE) nr. 575/2013, </w:t>
                  </w:r>
                  <w:r w:rsidRPr="00A24080">
                    <w:rPr>
                      <w:rStyle w:val="InstructionsTabelleText"/>
                      <w:rFonts w:ascii="Times New Roman" w:hAnsi="Times New Roman"/>
                      <w:sz w:val="22"/>
                      <w:szCs w:val="22"/>
                      <w:lang w:val="pt-BR"/>
                    </w:rPr>
                    <w:t>ținând</w:t>
                  </w:r>
                  <w:r w:rsidRPr="00A24080">
                    <w:rPr>
                      <w:sz w:val="22"/>
                      <w:szCs w:val="22"/>
                      <w:lang w:val="pt-BR"/>
                    </w:rPr>
                    <w:t xml:space="preserve"> seama de marja de apreciere prevăzută la articolul 335 din regulamentul respectiv.</w:t>
                  </w:r>
                </w:p>
              </w:tc>
            </w:tr>
          </w:tbl>
          <w:p w14:paraId="206EC3AB" w14:textId="77777777" w:rsidR="00E04B1E" w:rsidRPr="00A24080" w:rsidRDefault="00E04B1E"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E04B1E" w:rsidRPr="00EE7DB0" w14:paraId="3939622F" w14:textId="77777777" w:rsidTr="003146FA">
              <w:tc>
                <w:tcPr>
                  <w:tcW w:w="774" w:type="dxa"/>
                </w:tcPr>
                <w:p w14:paraId="157A1539" w14:textId="77777777" w:rsidR="00E04B1E" w:rsidRPr="00A24080" w:rsidRDefault="00E04B1E" w:rsidP="0028208B">
                  <w:pPr>
                    <w:framePr w:hSpace="180" w:wrap="around" w:vAnchor="text" w:hAnchor="text" w:x="-612" w:y="1"/>
                    <w:ind w:right="90"/>
                    <w:suppressOverlap/>
                    <w:jc w:val="both"/>
                    <w:rPr>
                      <w:sz w:val="22"/>
                      <w:szCs w:val="22"/>
                      <w:lang w:val="ro-RO"/>
                    </w:rPr>
                  </w:pPr>
                  <w:r w:rsidRPr="00A24080">
                    <w:rPr>
                      <w:sz w:val="22"/>
                      <w:szCs w:val="22"/>
                    </w:rPr>
                    <w:t>0601</w:t>
                  </w:r>
                </w:p>
              </w:tc>
              <w:tc>
                <w:tcPr>
                  <w:tcW w:w="4143" w:type="dxa"/>
                </w:tcPr>
                <w:p w14:paraId="078CDD8A" w14:textId="10ABA4CD" w:rsidR="00E04B1E" w:rsidRPr="00EE7DB0" w:rsidRDefault="00E04B1E" w:rsidP="0028208B">
                  <w:pPr>
                    <w:framePr w:hSpace="180" w:wrap="around" w:vAnchor="text" w:hAnchor="text" w:x="-612" w:y="1"/>
                    <w:suppressAutoHyphens/>
                    <w:autoSpaceDE w:val="0"/>
                    <w:autoSpaceDN w:val="0"/>
                    <w:adjustRightInd w:val="0"/>
                    <w:suppressOverlap/>
                    <w:rPr>
                      <w:b/>
                      <w:bCs/>
                      <w:sz w:val="22"/>
                      <w:szCs w:val="22"/>
                      <w:u w:val="single"/>
                      <w:lang w:val="ro-RO"/>
                    </w:rPr>
                  </w:pPr>
                  <w:r w:rsidRPr="00EE7DB0">
                    <w:rPr>
                      <w:b/>
                      <w:sz w:val="22"/>
                      <w:szCs w:val="22"/>
                      <w:u w:val="single"/>
                      <w:lang w:val="ro-RO"/>
                    </w:rPr>
                    <w:t xml:space="preserve">DUPĂ APLICAREA PLAFONULUI/ CERINȚE </w:t>
                  </w:r>
                  <w:r w:rsidR="009A3975" w:rsidRPr="00EE7DB0">
                    <w:rPr>
                      <w:lang w:val="ro-RO"/>
                    </w:rPr>
                    <w:t xml:space="preserve"> </w:t>
                  </w:r>
                  <w:r w:rsidR="009A3975" w:rsidRPr="00EE7DB0">
                    <w:rPr>
                      <w:b/>
                      <w:sz w:val="22"/>
                      <w:szCs w:val="22"/>
                      <w:u w:val="single"/>
                      <w:lang w:val="ro-RO"/>
                    </w:rPr>
                    <w:t xml:space="preserve">TOTALE </w:t>
                  </w:r>
                  <w:r w:rsidRPr="00EE7DB0">
                    <w:rPr>
                      <w:b/>
                      <w:sz w:val="22"/>
                      <w:szCs w:val="22"/>
                      <w:u w:val="single"/>
                      <w:lang w:val="ro-RO"/>
                    </w:rPr>
                    <w:t>DE FONDURI PROPRII ÎNAINTE DE APLICAREA FACTORULUI DE MULTIPLICARE</w:t>
                  </w:r>
                </w:p>
                <w:p w14:paraId="421BA297" w14:textId="73053912" w:rsidR="00E04B1E" w:rsidRPr="00A24080" w:rsidRDefault="0087025B" w:rsidP="0028208B">
                  <w:pPr>
                    <w:framePr w:hSpace="180" w:wrap="around" w:vAnchor="text" w:hAnchor="text" w:x="-612" w:y="1"/>
                    <w:ind w:right="90"/>
                    <w:suppressOverlap/>
                    <w:jc w:val="both"/>
                    <w:rPr>
                      <w:sz w:val="22"/>
                      <w:szCs w:val="22"/>
                      <w:lang w:val="ro-RO"/>
                    </w:rPr>
                  </w:pPr>
                  <w:r w:rsidRPr="00EE7DB0">
                    <w:rPr>
                      <w:sz w:val="22"/>
                      <w:szCs w:val="22"/>
                      <w:lang w:val="ro-RO"/>
                    </w:rPr>
                    <w:t xml:space="preserve">Titlul II capitolul IV secțiunea 2 </w:t>
                  </w:r>
                  <w:r w:rsidR="003C3B2A" w:rsidRPr="00EE7DB0">
                    <w:rPr>
                      <w:sz w:val="22"/>
                      <w:szCs w:val="22"/>
                      <w:lang w:val="ro-RO"/>
                    </w:rPr>
                    <w:t xml:space="preserve">subsecțiunea 1 </w:t>
                  </w:r>
                  <w:r w:rsidRPr="00EE7DB0">
                    <w:rPr>
                      <w:sz w:val="22"/>
                      <w:szCs w:val="22"/>
                      <w:lang w:val="ro-RO"/>
                    </w:rPr>
                    <w:t>paragraful 3 din Regulamentul nr.XX/2026</w:t>
                  </w:r>
                  <w:r w:rsidR="00E04B1E" w:rsidRPr="00EE7DB0">
                    <w:rPr>
                      <w:sz w:val="22"/>
                      <w:szCs w:val="22"/>
                      <w:lang w:val="ro-RO"/>
                    </w:rPr>
                    <w:t xml:space="preserve">, </w:t>
                  </w:r>
                  <w:r w:rsidR="00E04B1E" w:rsidRPr="00EE7DB0">
                    <w:rPr>
                      <w:rStyle w:val="InstructionsTabelleText"/>
                      <w:rFonts w:ascii="Times New Roman" w:hAnsi="Times New Roman"/>
                      <w:sz w:val="22"/>
                      <w:szCs w:val="22"/>
                      <w:lang w:val="ro-RO"/>
                    </w:rPr>
                    <w:t>ținând</w:t>
                  </w:r>
                  <w:r w:rsidR="00E04B1E" w:rsidRPr="00EE7DB0">
                    <w:rPr>
                      <w:sz w:val="22"/>
                      <w:szCs w:val="22"/>
                      <w:lang w:val="ro-RO"/>
                    </w:rPr>
                    <w:t xml:space="preserve"> seama de marja de apreciere prevăzută la </w:t>
                  </w:r>
                  <w:r w:rsidR="009064E0" w:rsidRPr="00EE7DB0">
                    <w:rPr>
                      <w:sz w:val="22"/>
                      <w:szCs w:val="22"/>
                      <w:lang w:val="ro-RO"/>
                    </w:rPr>
                    <w:t>pct.435</w:t>
                  </w:r>
                  <w:r w:rsidR="009A3975" w:rsidRPr="00EE7DB0">
                    <w:rPr>
                      <w:sz w:val="22"/>
                      <w:szCs w:val="22"/>
                      <w:lang w:val="ro-RO"/>
                    </w:rPr>
                    <w:t xml:space="preserve"> </w:t>
                  </w:r>
                  <w:r w:rsidR="00E04B1E" w:rsidRPr="00EE7DB0">
                    <w:rPr>
                      <w:sz w:val="22"/>
                      <w:szCs w:val="22"/>
                      <w:lang w:val="ro-RO"/>
                    </w:rPr>
                    <w:t>din regulamentul respectiv.</w:t>
                  </w:r>
                </w:p>
              </w:tc>
            </w:tr>
          </w:tbl>
          <w:p w14:paraId="54552C3F" w14:textId="77777777" w:rsidR="00E04B1E" w:rsidRPr="00A24080" w:rsidRDefault="00E04B1E" w:rsidP="0028208B">
            <w:pPr>
              <w:ind w:right="90"/>
              <w:jc w:val="both"/>
              <w:rPr>
                <w:sz w:val="22"/>
                <w:szCs w:val="22"/>
                <w:lang w:val="ro-RO"/>
              </w:rPr>
            </w:pPr>
          </w:p>
        </w:tc>
        <w:tc>
          <w:tcPr>
            <w:tcW w:w="1418" w:type="dxa"/>
          </w:tcPr>
          <w:p w14:paraId="628F3E68" w14:textId="78336BA5" w:rsidR="00E04B1E"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C5A0D99" w14:textId="31E09FD6" w:rsidR="00E04B1E" w:rsidRPr="00A24080" w:rsidRDefault="009A3975" w:rsidP="0028208B">
            <w:pPr>
              <w:jc w:val="both"/>
              <w:rPr>
                <w:bCs/>
                <w:sz w:val="22"/>
                <w:szCs w:val="22"/>
                <w:lang w:val="ro-RO"/>
              </w:rPr>
            </w:pPr>
            <w:r w:rsidRPr="009A3975">
              <w:rPr>
                <w:bCs/>
                <w:sz w:val="22"/>
                <w:szCs w:val="22"/>
                <w:lang w:val="ro-RO"/>
              </w:rPr>
              <w:t>Denumirea coloane</w:t>
            </w:r>
            <w:r>
              <w:rPr>
                <w:bCs/>
                <w:sz w:val="22"/>
                <w:szCs w:val="22"/>
                <w:lang w:val="ro-RO"/>
              </w:rPr>
              <w:t>i</w:t>
            </w:r>
            <w:r w:rsidRPr="009A3975">
              <w:rPr>
                <w:bCs/>
                <w:sz w:val="22"/>
                <w:szCs w:val="22"/>
                <w:lang w:val="ro-RO"/>
              </w:rPr>
              <w:t xml:space="preserve"> 0</w:t>
            </w:r>
            <w:r>
              <w:rPr>
                <w:bCs/>
                <w:sz w:val="22"/>
                <w:szCs w:val="22"/>
                <w:lang w:val="ro-RO"/>
              </w:rPr>
              <w:t>601</w:t>
            </w:r>
            <w:r w:rsidRPr="009A3975">
              <w:rPr>
                <w:bCs/>
                <w:sz w:val="22"/>
                <w:szCs w:val="22"/>
                <w:lang w:val="ro-RO"/>
              </w:rPr>
              <w:t xml:space="preserve"> a fost ajustată cu denumirea coloane</w:t>
            </w:r>
            <w:r>
              <w:rPr>
                <w:bCs/>
                <w:sz w:val="22"/>
                <w:szCs w:val="22"/>
                <w:lang w:val="ro-RO"/>
              </w:rPr>
              <w:t>i</w:t>
            </w:r>
            <w:r w:rsidRPr="009A3975">
              <w:rPr>
                <w:bCs/>
                <w:sz w:val="22"/>
                <w:szCs w:val="22"/>
                <w:lang w:val="ro-RO"/>
              </w:rPr>
              <w:t xml:space="preserve"> respective din formularul raportului C 19.01.</w:t>
            </w:r>
          </w:p>
        </w:tc>
      </w:tr>
      <w:tr w:rsidR="00AA3F0D" w:rsidRPr="00A24080" w14:paraId="2FFAC495" w14:textId="77777777" w:rsidTr="0028208B">
        <w:tc>
          <w:tcPr>
            <w:tcW w:w="5143" w:type="dxa"/>
          </w:tcPr>
          <w:tbl>
            <w:tblPr>
              <w:tblStyle w:val="TableGrid"/>
              <w:tblW w:w="0" w:type="auto"/>
              <w:tblLayout w:type="fixed"/>
              <w:tblLook w:val="04A0" w:firstRow="1" w:lastRow="0" w:firstColumn="1" w:lastColumn="0" w:noHBand="0" w:noVBand="1"/>
            </w:tblPr>
            <w:tblGrid>
              <w:gridCol w:w="773"/>
              <w:gridCol w:w="4144"/>
            </w:tblGrid>
            <w:tr w:rsidR="00AA3F0D" w:rsidRPr="00A24080" w14:paraId="2D29739D" w14:textId="77777777" w:rsidTr="007A1C98">
              <w:tc>
                <w:tcPr>
                  <w:tcW w:w="4917" w:type="dxa"/>
                  <w:gridSpan w:val="2"/>
                  <w:shd w:val="clear" w:color="auto" w:fill="D0CECE" w:themeFill="background2" w:themeFillShade="E6"/>
                </w:tcPr>
                <w:p w14:paraId="15EC814F" w14:textId="3BFD4533" w:rsidR="00AA3F0D" w:rsidRPr="00A24080" w:rsidRDefault="00AA3F0D" w:rsidP="0028208B">
                  <w:pPr>
                    <w:framePr w:hSpace="180" w:wrap="around" w:vAnchor="text" w:hAnchor="text" w:x="-612" w:y="1"/>
                    <w:ind w:right="90"/>
                    <w:suppressOverlap/>
                    <w:jc w:val="both"/>
                    <w:rPr>
                      <w:b/>
                      <w:bCs/>
                      <w:sz w:val="22"/>
                      <w:szCs w:val="22"/>
                      <w:lang w:val="ro-RO"/>
                    </w:rPr>
                  </w:pPr>
                  <w:r w:rsidRPr="00A24080">
                    <w:rPr>
                      <w:b/>
                      <w:bCs/>
                      <w:sz w:val="22"/>
                      <w:szCs w:val="22"/>
                      <w:lang w:val="ro-RO"/>
                    </w:rPr>
                    <w:t>Rânduri</w:t>
                  </w:r>
                </w:p>
              </w:tc>
            </w:tr>
            <w:tr w:rsidR="00AA3F0D" w:rsidRPr="00EE7DB0" w14:paraId="5A2A6923" w14:textId="77777777" w:rsidTr="00E04B1E">
              <w:tc>
                <w:tcPr>
                  <w:tcW w:w="773" w:type="dxa"/>
                </w:tcPr>
                <w:p w14:paraId="2A45258E" w14:textId="67E5C9FB"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0010</w:t>
                  </w:r>
                </w:p>
              </w:tc>
              <w:tc>
                <w:tcPr>
                  <w:tcW w:w="4144" w:type="dxa"/>
                </w:tcPr>
                <w:p w14:paraId="758297E5" w14:textId="77777777" w:rsidR="00AA3F0D" w:rsidRPr="00A24080" w:rsidRDefault="00AA3F0D" w:rsidP="0028208B">
                  <w:pPr>
                    <w:framePr w:hSpace="180" w:wrap="around" w:vAnchor="text" w:hAnchor="text" w:x="-612" w:y="1"/>
                    <w:suppressAutoHyphens/>
                    <w:suppressOverlap/>
                    <w:jc w:val="both"/>
                    <w:rPr>
                      <w:sz w:val="22"/>
                      <w:szCs w:val="22"/>
                      <w:lang w:val="ro-RO"/>
                    </w:rPr>
                  </w:pPr>
                  <w:r w:rsidRPr="00A24080">
                    <w:rPr>
                      <w:rStyle w:val="InstructionsTabelleberschrift"/>
                      <w:rFonts w:ascii="Times New Roman" w:hAnsi="Times New Roman"/>
                      <w:sz w:val="22"/>
                      <w:szCs w:val="22"/>
                      <w:lang w:val="ro-RO"/>
                    </w:rPr>
                    <w:t>EXPUNERI TOTALE</w:t>
                  </w:r>
                </w:p>
                <w:p w14:paraId="39BE720F" w14:textId="2E0A13BE" w:rsidR="00AA3F0D" w:rsidRPr="00A24080" w:rsidRDefault="00AA3F0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Cuantumul total al securitizărilor și resecuritizărilor în sold (deținute în portofoliul de tranzacționare) raportat de către instituția care îndeplinește rolul/rolurile de inițiator, investitor sau sponsor.</w:t>
                  </w:r>
                </w:p>
              </w:tc>
            </w:tr>
          </w:tbl>
          <w:p w14:paraId="09CB04FE"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3"/>
              <w:gridCol w:w="4144"/>
            </w:tblGrid>
            <w:tr w:rsidR="00AA3F0D" w:rsidRPr="00A24080" w14:paraId="270D88F0" w14:textId="77777777" w:rsidTr="007A1C98">
              <w:tc>
                <w:tcPr>
                  <w:tcW w:w="4917" w:type="dxa"/>
                  <w:gridSpan w:val="2"/>
                  <w:shd w:val="clear" w:color="auto" w:fill="D0CECE" w:themeFill="background2" w:themeFillShade="E6"/>
                </w:tcPr>
                <w:p w14:paraId="5763B46C" w14:textId="77777777" w:rsidR="00AA3F0D" w:rsidRPr="00A24080" w:rsidRDefault="00AA3F0D" w:rsidP="0028208B">
                  <w:pPr>
                    <w:framePr w:hSpace="180" w:wrap="around" w:vAnchor="text" w:hAnchor="text" w:x="-612" w:y="1"/>
                    <w:ind w:right="90"/>
                    <w:suppressOverlap/>
                    <w:jc w:val="both"/>
                    <w:rPr>
                      <w:b/>
                      <w:bCs/>
                      <w:sz w:val="22"/>
                      <w:szCs w:val="22"/>
                      <w:lang w:val="ro-RO"/>
                    </w:rPr>
                  </w:pPr>
                  <w:r w:rsidRPr="00A24080">
                    <w:rPr>
                      <w:b/>
                      <w:bCs/>
                      <w:sz w:val="22"/>
                      <w:szCs w:val="22"/>
                      <w:lang w:val="ro-RO"/>
                    </w:rPr>
                    <w:t>Rânduri</w:t>
                  </w:r>
                </w:p>
              </w:tc>
            </w:tr>
            <w:tr w:rsidR="00AA3F0D" w:rsidRPr="00EE7DB0" w14:paraId="2CB53C7B" w14:textId="77777777" w:rsidTr="003146FA">
              <w:tc>
                <w:tcPr>
                  <w:tcW w:w="773" w:type="dxa"/>
                </w:tcPr>
                <w:p w14:paraId="4D4B3774"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0010</w:t>
                  </w:r>
                </w:p>
              </w:tc>
              <w:tc>
                <w:tcPr>
                  <w:tcW w:w="4144" w:type="dxa"/>
                </w:tcPr>
                <w:p w14:paraId="599B35EE" w14:textId="77777777" w:rsidR="00AA3F0D" w:rsidRPr="00A24080" w:rsidRDefault="00AA3F0D" w:rsidP="0028208B">
                  <w:pPr>
                    <w:framePr w:hSpace="180" w:wrap="around" w:vAnchor="text" w:hAnchor="text" w:x="-612" w:y="1"/>
                    <w:suppressAutoHyphens/>
                    <w:suppressOverlap/>
                    <w:jc w:val="both"/>
                    <w:rPr>
                      <w:sz w:val="22"/>
                      <w:szCs w:val="22"/>
                      <w:lang w:val="ro-RO"/>
                    </w:rPr>
                  </w:pPr>
                  <w:r w:rsidRPr="00A24080">
                    <w:rPr>
                      <w:rStyle w:val="InstructionsTabelleberschrift"/>
                      <w:rFonts w:ascii="Times New Roman" w:hAnsi="Times New Roman"/>
                      <w:sz w:val="22"/>
                      <w:szCs w:val="22"/>
                      <w:lang w:val="ro-RO"/>
                    </w:rPr>
                    <w:t>EXPUNERI TOTALE</w:t>
                  </w:r>
                </w:p>
                <w:p w14:paraId="3270CEAB" w14:textId="25507572" w:rsidR="00AA3F0D" w:rsidRPr="00A24080" w:rsidRDefault="00AA3F0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 xml:space="preserve">Cuantumul total al securitizărilor și resecuritizărilor în sold (deținute în portofoliul de tranzacționare) raportat de către </w:t>
                  </w:r>
                  <w:r w:rsidR="00281E56" w:rsidRPr="00A24080">
                    <w:rPr>
                      <w:rStyle w:val="InstructionsTabelleText"/>
                      <w:rFonts w:ascii="Times New Roman" w:hAnsi="Times New Roman"/>
                      <w:sz w:val="22"/>
                      <w:szCs w:val="22"/>
                      <w:lang w:val="ro-RO"/>
                    </w:rPr>
                    <w:t xml:space="preserve">banca </w:t>
                  </w:r>
                  <w:r w:rsidRPr="00A24080">
                    <w:rPr>
                      <w:rStyle w:val="InstructionsTabelleText"/>
                      <w:rFonts w:ascii="Times New Roman" w:hAnsi="Times New Roman"/>
                      <w:sz w:val="22"/>
                      <w:szCs w:val="22"/>
                      <w:lang w:val="ro-RO"/>
                    </w:rPr>
                    <w:t>care îndeplinește rolul/rolurile de inițiator, investitor sau sponsor.</w:t>
                  </w:r>
                </w:p>
              </w:tc>
            </w:tr>
          </w:tbl>
          <w:p w14:paraId="4C8B3893" w14:textId="77777777" w:rsidR="00AA3F0D" w:rsidRPr="00A24080" w:rsidRDefault="00AA3F0D" w:rsidP="0028208B">
            <w:pPr>
              <w:ind w:right="90"/>
              <w:jc w:val="both"/>
              <w:rPr>
                <w:sz w:val="22"/>
                <w:szCs w:val="22"/>
                <w:lang w:val="ro-RO"/>
              </w:rPr>
            </w:pPr>
          </w:p>
        </w:tc>
        <w:tc>
          <w:tcPr>
            <w:tcW w:w="1418" w:type="dxa"/>
          </w:tcPr>
          <w:p w14:paraId="14063101" w14:textId="0098A35F"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C929F6C" w14:textId="77777777" w:rsidR="00AA3F0D" w:rsidRPr="00A24080" w:rsidRDefault="00AA3F0D" w:rsidP="0028208B">
            <w:pPr>
              <w:jc w:val="both"/>
              <w:rPr>
                <w:bCs/>
                <w:sz w:val="22"/>
                <w:szCs w:val="22"/>
                <w:lang w:val="ro-RO"/>
              </w:rPr>
            </w:pPr>
          </w:p>
        </w:tc>
      </w:tr>
      <w:tr w:rsidR="00AA3F0D" w:rsidRPr="00A24080" w14:paraId="6766EF79"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AA3F0D" w:rsidRPr="00A24080" w14:paraId="1078D6D2" w14:textId="77777777" w:rsidTr="003146FA">
              <w:tc>
                <w:tcPr>
                  <w:tcW w:w="774" w:type="dxa"/>
                </w:tcPr>
                <w:p w14:paraId="3D4AB16B" w14:textId="5AEC9BDA"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0040, 0070 și 0100</w:t>
                  </w:r>
                </w:p>
              </w:tc>
              <w:tc>
                <w:tcPr>
                  <w:tcW w:w="4143" w:type="dxa"/>
                </w:tcPr>
                <w:p w14:paraId="4223DCBA"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POZIȚII DIN SECURITIZARE</w:t>
                  </w:r>
                </w:p>
                <w:p w14:paraId="74D79FF0" w14:textId="77777777" w:rsidR="00AA3F0D" w:rsidRPr="00A24080" w:rsidRDefault="00AA3F0D"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 xml:space="preserve"> Articolul 4 alineatul (1) punctul 62 din Regulamentul (UE) nr. 575/2013.</w:t>
                  </w:r>
                </w:p>
                <w:p w14:paraId="758528BD"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41B871AA"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AA3F0D" w:rsidRPr="00A24080" w14:paraId="2F47B026" w14:textId="77777777" w:rsidTr="003146FA">
              <w:tc>
                <w:tcPr>
                  <w:tcW w:w="774" w:type="dxa"/>
                </w:tcPr>
                <w:p w14:paraId="3FDE03AA"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0040, 0070 și 0100</w:t>
                  </w:r>
                </w:p>
              </w:tc>
              <w:tc>
                <w:tcPr>
                  <w:tcW w:w="4143" w:type="dxa"/>
                </w:tcPr>
                <w:p w14:paraId="433F6773"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POZIȚII DIN SECURITIZARE</w:t>
                  </w:r>
                </w:p>
                <w:p w14:paraId="727086AF" w14:textId="5F8812A0" w:rsidR="00AA3F0D" w:rsidRPr="00A24080" w:rsidRDefault="00AA3F0D"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 xml:space="preserve"> </w:t>
                  </w:r>
                  <w:r w:rsidR="00321096" w:rsidRPr="00A24080">
                    <w:rPr>
                      <w:sz w:val="22"/>
                      <w:szCs w:val="22"/>
                      <w:lang w:val="ro-RO"/>
                    </w:rPr>
                    <w:t xml:space="preserve">Subpct.3.16 din Regulamentul </w:t>
                  </w:r>
                  <w:r w:rsidR="001F33C7" w:rsidRPr="00A24080">
                    <w:rPr>
                      <w:sz w:val="22"/>
                      <w:szCs w:val="22"/>
                      <w:lang w:val="ro-RO"/>
                    </w:rPr>
                    <w:t>nr.221/2025</w:t>
                  </w:r>
                </w:p>
                <w:p w14:paraId="61EBD498"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5BED580E" w14:textId="77777777" w:rsidR="00AA3F0D" w:rsidRPr="00A24080" w:rsidRDefault="00AA3F0D" w:rsidP="0028208B">
            <w:pPr>
              <w:ind w:right="90"/>
              <w:jc w:val="both"/>
              <w:rPr>
                <w:sz w:val="22"/>
                <w:szCs w:val="22"/>
                <w:lang w:val="ro-RO"/>
              </w:rPr>
            </w:pPr>
          </w:p>
        </w:tc>
        <w:tc>
          <w:tcPr>
            <w:tcW w:w="1418" w:type="dxa"/>
          </w:tcPr>
          <w:p w14:paraId="3B57EDFF" w14:textId="40203E91"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7523278" w14:textId="77777777" w:rsidR="00AA3F0D" w:rsidRPr="00A24080" w:rsidRDefault="00AA3F0D" w:rsidP="0028208B">
            <w:pPr>
              <w:jc w:val="both"/>
              <w:rPr>
                <w:bCs/>
                <w:sz w:val="22"/>
                <w:szCs w:val="22"/>
                <w:lang w:val="ro-RO"/>
              </w:rPr>
            </w:pPr>
          </w:p>
        </w:tc>
      </w:tr>
      <w:tr w:rsidR="00AA3F0D" w:rsidRPr="00A24080" w14:paraId="4136D49D"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AA3F0D" w:rsidRPr="00A24080" w14:paraId="0FDAA8DC" w14:textId="77777777" w:rsidTr="003146FA">
              <w:tc>
                <w:tcPr>
                  <w:tcW w:w="774" w:type="dxa"/>
                </w:tcPr>
                <w:p w14:paraId="06D5E905" w14:textId="5BDE45D2"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 xml:space="preserve">0020, 0050, 0080 </w:t>
                  </w:r>
                  <w:r w:rsidRPr="00A24080">
                    <w:rPr>
                      <w:sz w:val="22"/>
                      <w:szCs w:val="22"/>
                      <w:lang w:val="ro-RO"/>
                    </w:rPr>
                    <w:lastRenderedPageBreak/>
                    <w:t>și 0110</w:t>
                  </w:r>
                </w:p>
              </w:tc>
              <w:tc>
                <w:tcPr>
                  <w:tcW w:w="4143" w:type="dxa"/>
                </w:tcPr>
                <w:p w14:paraId="3028B735" w14:textId="77777777" w:rsid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lastRenderedPageBreak/>
                    <w:t>POZIȚII DIN RESECURITIZARE</w:t>
                  </w:r>
                </w:p>
                <w:p w14:paraId="488CA3F5" w14:textId="3A92E35A" w:rsidR="00AA3F0D" w:rsidRPr="00A24080" w:rsidRDefault="00AA3F0D" w:rsidP="0028208B">
                  <w:pPr>
                    <w:framePr w:hSpace="180" w:wrap="around" w:vAnchor="text" w:hAnchor="text" w:x="-612" w:y="1"/>
                    <w:suppressAutoHyphens/>
                    <w:suppressOverlap/>
                    <w:jc w:val="both"/>
                    <w:rPr>
                      <w:bCs/>
                      <w:sz w:val="22"/>
                      <w:szCs w:val="22"/>
                      <w:lang w:val="ro-RO"/>
                    </w:rPr>
                  </w:pPr>
                  <w:r w:rsidRPr="00A24080">
                    <w:rPr>
                      <w:sz w:val="22"/>
                      <w:szCs w:val="22"/>
                      <w:lang w:val="ro-RO"/>
                    </w:rPr>
                    <w:t>Articolul 4 alineatul (1) punctul 64 din Regulamentul (UE) nr. 575/2013</w:t>
                  </w:r>
                </w:p>
                <w:p w14:paraId="5759172B"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4AA847B2"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AA3F0D" w:rsidRPr="00A24080" w14:paraId="087DDFF0" w14:textId="77777777" w:rsidTr="003146FA">
              <w:tc>
                <w:tcPr>
                  <w:tcW w:w="774" w:type="dxa"/>
                </w:tcPr>
                <w:p w14:paraId="6C3D6EFA"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 xml:space="preserve">0020, 0050, 0080 </w:t>
                  </w:r>
                  <w:r w:rsidRPr="00A24080">
                    <w:rPr>
                      <w:sz w:val="22"/>
                      <w:szCs w:val="22"/>
                      <w:lang w:val="ro-RO"/>
                    </w:rPr>
                    <w:lastRenderedPageBreak/>
                    <w:t>și 0110</w:t>
                  </w:r>
                </w:p>
              </w:tc>
              <w:tc>
                <w:tcPr>
                  <w:tcW w:w="4143" w:type="dxa"/>
                </w:tcPr>
                <w:p w14:paraId="0BD77079"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lastRenderedPageBreak/>
                    <w:t>POZIȚII DIN RESECURITIZARE</w:t>
                  </w:r>
                </w:p>
                <w:p w14:paraId="6DDBCF05" w14:textId="77777777" w:rsidR="00A24080" w:rsidRDefault="00A24080" w:rsidP="0028208B">
                  <w:pPr>
                    <w:framePr w:hSpace="180" w:wrap="around" w:vAnchor="text" w:hAnchor="text" w:x="-612" w:y="1"/>
                    <w:suppressAutoHyphens/>
                    <w:autoSpaceDE w:val="0"/>
                    <w:autoSpaceDN w:val="0"/>
                    <w:adjustRightInd w:val="0"/>
                    <w:suppressOverlap/>
                    <w:jc w:val="both"/>
                    <w:rPr>
                      <w:sz w:val="22"/>
                      <w:szCs w:val="22"/>
                      <w:lang w:val="ro-RO"/>
                    </w:rPr>
                  </w:pPr>
                </w:p>
                <w:p w14:paraId="63028AFA" w14:textId="250938FC" w:rsidR="00AA3F0D" w:rsidRPr="00A24080" w:rsidRDefault="008D4AAA"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Subpct.3.15 din Regulamentul nr.221/2025.</w:t>
                  </w:r>
                </w:p>
                <w:p w14:paraId="739A7B6C"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34D34930" w14:textId="77777777" w:rsidR="00AA3F0D" w:rsidRPr="00A24080" w:rsidRDefault="00AA3F0D" w:rsidP="0028208B">
            <w:pPr>
              <w:ind w:right="90"/>
              <w:jc w:val="both"/>
              <w:rPr>
                <w:sz w:val="22"/>
                <w:szCs w:val="22"/>
                <w:lang w:val="ro-RO"/>
              </w:rPr>
            </w:pPr>
          </w:p>
        </w:tc>
        <w:tc>
          <w:tcPr>
            <w:tcW w:w="1418" w:type="dxa"/>
          </w:tcPr>
          <w:p w14:paraId="28AB81E4" w14:textId="2B206F6E" w:rsidR="00AA3F0D" w:rsidRPr="00A24080" w:rsidRDefault="00AA273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56A2DE4B" w14:textId="77777777" w:rsidR="00AA3F0D" w:rsidRPr="00A24080" w:rsidRDefault="00AA3F0D" w:rsidP="0028208B">
            <w:pPr>
              <w:jc w:val="both"/>
              <w:rPr>
                <w:bCs/>
                <w:sz w:val="22"/>
                <w:szCs w:val="22"/>
                <w:lang w:val="ro-RO"/>
              </w:rPr>
            </w:pPr>
          </w:p>
        </w:tc>
      </w:tr>
      <w:tr w:rsidR="00AA3F0D" w:rsidRPr="00A24080" w14:paraId="533D45DA"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AA3F0D" w:rsidRPr="00EE7DB0" w14:paraId="1C4AB265" w14:textId="77777777" w:rsidTr="003146FA">
              <w:tc>
                <w:tcPr>
                  <w:tcW w:w="774" w:type="dxa"/>
                </w:tcPr>
                <w:p w14:paraId="528CCA66" w14:textId="7DBA6FEC"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0041, 0071 și 0101</w:t>
                  </w:r>
                </w:p>
              </w:tc>
              <w:tc>
                <w:tcPr>
                  <w:tcW w:w="4143" w:type="dxa"/>
                </w:tcPr>
                <w:p w14:paraId="7464B415"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DIN CARE: ELIGIBILE PENTRU UN TRATAMENT DIFERENȚIAT ÎN MATERIE DE CAPITAL</w:t>
                  </w:r>
                </w:p>
                <w:p w14:paraId="7E3D9A05" w14:textId="565D7380"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Cuantumul total al pozițiilor din securitizare care îndeplinesc criteriile de la articolul 243 din Regulamentul (UE) nr. 575/2013 sau de la articolul 270 din regulamentul respectiv și care, prin urmare, sunt eligibile pentru un tratament diferențiat în materie de capital.</w:t>
                  </w:r>
                </w:p>
              </w:tc>
            </w:tr>
          </w:tbl>
          <w:p w14:paraId="468DA4E3"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AA3F0D" w:rsidRPr="00EE7DB0" w14:paraId="41731BB8" w14:textId="77777777" w:rsidTr="003146FA">
              <w:tc>
                <w:tcPr>
                  <w:tcW w:w="774" w:type="dxa"/>
                </w:tcPr>
                <w:p w14:paraId="6004BDD9"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0041, 0071 și 0101</w:t>
                  </w:r>
                </w:p>
              </w:tc>
              <w:tc>
                <w:tcPr>
                  <w:tcW w:w="4143" w:type="dxa"/>
                </w:tcPr>
                <w:p w14:paraId="30F4087F"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DIN CARE: ELIGIBILE PENTRU UN TRATAMENT DIFERENȚIAT ÎN MATERIE DE CAPITAL</w:t>
                  </w:r>
                </w:p>
                <w:p w14:paraId="1CF6C1BC" w14:textId="44E24992"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 xml:space="preserve">Cuantumul total al pozițiilor din securitizare care îndeplinesc criteriile de la </w:t>
                  </w:r>
                  <w:r w:rsidR="00493D8E" w:rsidRPr="00A24080">
                    <w:rPr>
                      <w:sz w:val="22"/>
                      <w:szCs w:val="22"/>
                      <w:lang w:val="ro-RO"/>
                    </w:rPr>
                    <w:t>capitolul II</w:t>
                  </w:r>
                  <w:r w:rsidRPr="00A24080">
                    <w:rPr>
                      <w:sz w:val="22"/>
                      <w:szCs w:val="22"/>
                      <w:lang w:val="ro-RO"/>
                    </w:rPr>
                    <w:t xml:space="preserve"> sau de </w:t>
                  </w:r>
                  <w:r w:rsidR="00493D8E" w:rsidRPr="00A24080">
                    <w:rPr>
                      <w:sz w:val="22"/>
                      <w:szCs w:val="22"/>
                      <w:lang w:val="ro-RO"/>
                    </w:rPr>
                    <w:t>capitolul IV secțiunea 5 subsecțiunea 3 din Regulamentul nr.221/2025</w:t>
                  </w:r>
                  <w:r w:rsidRPr="00A24080">
                    <w:rPr>
                      <w:sz w:val="22"/>
                      <w:szCs w:val="22"/>
                      <w:lang w:val="ro-RO"/>
                    </w:rPr>
                    <w:t xml:space="preserve"> și care, prin urmare, sunt eligibile pentru un tratament diferențiat în materie de capital.</w:t>
                  </w:r>
                </w:p>
              </w:tc>
            </w:tr>
          </w:tbl>
          <w:p w14:paraId="42FB6019" w14:textId="77777777" w:rsidR="00AA3F0D" w:rsidRPr="00A24080" w:rsidRDefault="00AA3F0D" w:rsidP="0028208B">
            <w:pPr>
              <w:ind w:right="90"/>
              <w:jc w:val="both"/>
              <w:rPr>
                <w:sz w:val="22"/>
                <w:szCs w:val="22"/>
                <w:lang w:val="ro-RO"/>
              </w:rPr>
            </w:pPr>
          </w:p>
        </w:tc>
        <w:tc>
          <w:tcPr>
            <w:tcW w:w="1418" w:type="dxa"/>
          </w:tcPr>
          <w:p w14:paraId="40A26B6F" w14:textId="527F13E2"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2005EB0" w14:textId="77777777" w:rsidR="00AA3F0D" w:rsidRPr="00A24080" w:rsidRDefault="00AA3F0D" w:rsidP="0028208B">
            <w:pPr>
              <w:jc w:val="both"/>
              <w:rPr>
                <w:bCs/>
                <w:sz w:val="22"/>
                <w:szCs w:val="22"/>
                <w:lang w:val="ro-RO"/>
              </w:rPr>
            </w:pPr>
          </w:p>
        </w:tc>
      </w:tr>
      <w:tr w:rsidR="00AA3F0D" w:rsidRPr="00A24080" w14:paraId="09C3A4A9"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AA3F0D" w:rsidRPr="00A24080" w14:paraId="45532EDD" w14:textId="77777777" w:rsidTr="003146FA">
              <w:tc>
                <w:tcPr>
                  <w:tcW w:w="774" w:type="dxa"/>
                </w:tcPr>
                <w:p w14:paraId="78AA9AD7" w14:textId="0EA86E14"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0030-0050</w:t>
                  </w:r>
                </w:p>
              </w:tc>
              <w:tc>
                <w:tcPr>
                  <w:tcW w:w="4143" w:type="dxa"/>
                </w:tcPr>
                <w:p w14:paraId="6E93BCF8"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INIȚIATOR</w:t>
                  </w:r>
                </w:p>
                <w:p w14:paraId="34C56FC7" w14:textId="77777777" w:rsidR="00AA3F0D" w:rsidRPr="00A24080" w:rsidRDefault="00AA3F0D"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Articolul 4 alineatul (1) punctul 13 din Regulamentul (UE) nr. 575/2013</w:t>
                  </w:r>
                </w:p>
                <w:p w14:paraId="44031541"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33D5C080"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AA3F0D" w:rsidRPr="00A24080" w14:paraId="248F0453" w14:textId="77777777" w:rsidTr="003146FA">
              <w:tc>
                <w:tcPr>
                  <w:tcW w:w="774" w:type="dxa"/>
                </w:tcPr>
                <w:p w14:paraId="77FB3430"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0030-0050</w:t>
                  </w:r>
                </w:p>
              </w:tc>
              <w:tc>
                <w:tcPr>
                  <w:tcW w:w="4143" w:type="dxa"/>
                </w:tcPr>
                <w:p w14:paraId="7B0E072D"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INIȚIATOR</w:t>
                  </w:r>
                </w:p>
                <w:p w14:paraId="64363F5C" w14:textId="382D43B3" w:rsidR="00AA3F0D" w:rsidRPr="00A24080" w:rsidRDefault="00493D8E"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Subpct.3.7 din Regulamentul nr.221/2025.</w:t>
                  </w:r>
                </w:p>
                <w:p w14:paraId="10298990"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2A46AD71" w14:textId="77777777" w:rsidR="00AA3F0D" w:rsidRPr="00A24080" w:rsidRDefault="00AA3F0D" w:rsidP="0028208B">
            <w:pPr>
              <w:ind w:right="90"/>
              <w:jc w:val="both"/>
              <w:rPr>
                <w:sz w:val="22"/>
                <w:szCs w:val="22"/>
                <w:lang w:val="ro-RO"/>
              </w:rPr>
            </w:pPr>
          </w:p>
        </w:tc>
        <w:tc>
          <w:tcPr>
            <w:tcW w:w="1418" w:type="dxa"/>
          </w:tcPr>
          <w:p w14:paraId="747891B4" w14:textId="526A47A1"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07A956F" w14:textId="77777777" w:rsidR="00AA3F0D" w:rsidRPr="00A24080" w:rsidRDefault="00AA3F0D" w:rsidP="0028208B">
            <w:pPr>
              <w:jc w:val="both"/>
              <w:rPr>
                <w:bCs/>
                <w:sz w:val="22"/>
                <w:szCs w:val="22"/>
                <w:lang w:val="ro-RO"/>
              </w:rPr>
            </w:pPr>
          </w:p>
        </w:tc>
      </w:tr>
      <w:tr w:rsidR="00AA3F0D" w:rsidRPr="00A24080" w14:paraId="141CE1BA"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AA3F0D" w:rsidRPr="00EE7DB0" w14:paraId="065BDBEA" w14:textId="77777777" w:rsidTr="003146FA">
              <w:tc>
                <w:tcPr>
                  <w:tcW w:w="774" w:type="dxa"/>
                </w:tcPr>
                <w:p w14:paraId="23399C5E" w14:textId="56ABE2E3"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0060-0080</w:t>
                  </w:r>
                </w:p>
              </w:tc>
              <w:tc>
                <w:tcPr>
                  <w:tcW w:w="4143" w:type="dxa"/>
                </w:tcPr>
                <w:p w14:paraId="1B2C142E"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INVESTITOR</w:t>
                  </w:r>
                </w:p>
                <w:p w14:paraId="050EE9E7" w14:textId="77777777" w:rsidR="00AA3F0D" w:rsidRPr="00A24080" w:rsidRDefault="00AA3F0D"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Instituția de credit care deține o poziție din securitizare într-o tranzacție de securitizare pentru care nu este nici inițiator, nici sponsor și nici creditor inițial.</w:t>
                  </w:r>
                </w:p>
                <w:p w14:paraId="743091F2"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535D6F88"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AA3F0D" w:rsidRPr="00EE7DB0" w14:paraId="495A7B74" w14:textId="77777777" w:rsidTr="003146FA">
              <w:tc>
                <w:tcPr>
                  <w:tcW w:w="774" w:type="dxa"/>
                </w:tcPr>
                <w:p w14:paraId="1DA5A1AC"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lang w:val="ro-RO"/>
                    </w:rPr>
                    <w:t>0060-0080</w:t>
                  </w:r>
                </w:p>
              </w:tc>
              <w:tc>
                <w:tcPr>
                  <w:tcW w:w="4143" w:type="dxa"/>
                </w:tcPr>
                <w:p w14:paraId="7637FBD4"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INVESTITOR</w:t>
                  </w:r>
                </w:p>
                <w:p w14:paraId="5CC4E4A2" w14:textId="3B8B05D1" w:rsidR="00AA3F0D" w:rsidRPr="00A24080" w:rsidRDefault="00493D8E" w:rsidP="0028208B">
                  <w:pPr>
                    <w:framePr w:hSpace="180" w:wrap="around" w:vAnchor="text" w:hAnchor="text" w:x="-612" w:y="1"/>
                    <w:suppressAutoHyphens/>
                    <w:autoSpaceDE w:val="0"/>
                    <w:autoSpaceDN w:val="0"/>
                    <w:adjustRightInd w:val="0"/>
                    <w:suppressOverlap/>
                    <w:jc w:val="both"/>
                    <w:rPr>
                      <w:bCs/>
                      <w:sz w:val="22"/>
                      <w:szCs w:val="22"/>
                      <w:lang w:val="ro-RO"/>
                    </w:rPr>
                  </w:pPr>
                  <w:r w:rsidRPr="00A24080">
                    <w:rPr>
                      <w:sz w:val="22"/>
                      <w:szCs w:val="22"/>
                      <w:lang w:val="ro-RO"/>
                    </w:rPr>
                    <w:t>Banca</w:t>
                  </w:r>
                  <w:r w:rsidR="00AA3F0D" w:rsidRPr="00A24080">
                    <w:rPr>
                      <w:sz w:val="22"/>
                      <w:szCs w:val="22"/>
                      <w:lang w:val="ro-RO"/>
                    </w:rPr>
                    <w:t xml:space="preserve"> care deține o poziție din securitizare într-o tranzacție de securitizare pentru care nu este nici inițiator, nici sponsor și nici creditor inițial.</w:t>
                  </w:r>
                </w:p>
                <w:p w14:paraId="0883F4FE" w14:textId="77777777" w:rsidR="00AA3F0D" w:rsidRPr="00A24080" w:rsidRDefault="00AA3F0D" w:rsidP="0028208B">
                  <w:pPr>
                    <w:framePr w:hSpace="180" w:wrap="around" w:vAnchor="text" w:hAnchor="text" w:x="-612" w:y="1"/>
                    <w:ind w:right="90"/>
                    <w:suppressOverlap/>
                    <w:jc w:val="both"/>
                    <w:rPr>
                      <w:sz w:val="22"/>
                      <w:szCs w:val="22"/>
                      <w:lang w:val="ro-RO"/>
                    </w:rPr>
                  </w:pPr>
                </w:p>
              </w:tc>
            </w:tr>
          </w:tbl>
          <w:p w14:paraId="428C90CB" w14:textId="77777777" w:rsidR="00AA3F0D" w:rsidRPr="00A24080" w:rsidRDefault="00AA3F0D" w:rsidP="0028208B">
            <w:pPr>
              <w:ind w:right="90"/>
              <w:jc w:val="both"/>
              <w:rPr>
                <w:sz w:val="22"/>
                <w:szCs w:val="22"/>
                <w:lang w:val="ro-RO"/>
              </w:rPr>
            </w:pPr>
          </w:p>
        </w:tc>
        <w:tc>
          <w:tcPr>
            <w:tcW w:w="1418" w:type="dxa"/>
          </w:tcPr>
          <w:p w14:paraId="259B942A" w14:textId="4C01AEF8"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C8FCF9F" w14:textId="77777777" w:rsidR="00AA3F0D" w:rsidRPr="00A24080" w:rsidRDefault="00AA3F0D" w:rsidP="0028208B">
            <w:pPr>
              <w:jc w:val="both"/>
              <w:rPr>
                <w:bCs/>
                <w:sz w:val="22"/>
                <w:szCs w:val="22"/>
                <w:lang w:val="ro-RO"/>
              </w:rPr>
            </w:pPr>
          </w:p>
        </w:tc>
      </w:tr>
      <w:tr w:rsidR="00AA3F0D" w:rsidRPr="00A24080" w14:paraId="6BF8ADE8" w14:textId="77777777" w:rsidTr="0028208B">
        <w:tc>
          <w:tcPr>
            <w:tcW w:w="5143" w:type="dxa"/>
          </w:tcPr>
          <w:tbl>
            <w:tblPr>
              <w:tblStyle w:val="TableGrid"/>
              <w:tblW w:w="0" w:type="auto"/>
              <w:tblLayout w:type="fixed"/>
              <w:tblLook w:val="04A0" w:firstRow="1" w:lastRow="0" w:firstColumn="1" w:lastColumn="0" w:noHBand="0" w:noVBand="1"/>
            </w:tblPr>
            <w:tblGrid>
              <w:gridCol w:w="774"/>
              <w:gridCol w:w="4143"/>
            </w:tblGrid>
            <w:tr w:rsidR="00AA3F0D" w:rsidRPr="00EE7DB0" w14:paraId="48B5B7CE" w14:textId="77777777" w:rsidTr="003146FA">
              <w:tc>
                <w:tcPr>
                  <w:tcW w:w="774" w:type="dxa"/>
                </w:tcPr>
                <w:p w14:paraId="0D10622C" w14:textId="4BB0D8E9"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rPr>
                    <w:t>0090-0110</w:t>
                  </w:r>
                </w:p>
              </w:tc>
              <w:tc>
                <w:tcPr>
                  <w:tcW w:w="4143" w:type="dxa"/>
                </w:tcPr>
                <w:p w14:paraId="5A7E48C5"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SPONSOR</w:t>
                  </w:r>
                </w:p>
                <w:p w14:paraId="39BA9D83" w14:textId="77777777" w:rsidR="00AA3F0D" w:rsidRPr="00A24080" w:rsidRDefault="00AA3F0D" w:rsidP="0028208B">
                  <w:pPr>
                    <w:framePr w:hSpace="180" w:wrap="around" w:vAnchor="text" w:hAnchor="text" w:x="-612" w:y="1"/>
                    <w:suppressAutoHyphens/>
                    <w:autoSpaceDE w:val="0"/>
                    <w:autoSpaceDN w:val="0"/>
                    <w:adjustRightInd w:val="0"/>
                    <w:suppressOverlap/>
                    <w:jc w:val="both"/>
                    <w:rPr>
                      <w:rStyle w:val="InstructionsTabelleText"/>
                      <w:rFonts w:ascii="Times New Roman" w:hAnsi="Times New Roman"/>
                      <w:sz w:val="22"/>
                      <w:szCs w:val="22"/>
                      <w:lang w:val="ro-RO"/>
                    </w:rPr>
                  </w:pPr>
                  <w:r w:rsidRPr="00A24080">
                    <w:rPr>
                      <w:sz w:val="22"/>
                      <w:szCs w:val="22"/>
                      <w:lang w:val="ro-RO"/>
                    </w:rPr>
                    <w:t>Articolul 4 alineatul (1) punctul 14 din Regulamentul (UE) nr. 575/2013</w:t>
                  </w:r>
                  <w:r w:rsidRPr="00A24080">
                    <w:rPr>
                      <w:rStyle w:val="InstructionsTabelleText"/>
                      <w:rFonts w:ascii="Times New Roman" w:hAnsi="Times New Roman"/>
                      <w:sz w:val="22"/>
                      <w:szCs w:val="22"/>
                      <w:lang w:val="ro-RO"/>
                    </w:rPr>
                    <w:t xml:space="preserve">. </w:t>
                  </w:r>
                </w:p>
                <w:p w14:paraId="4892F45F" w14:textId="47396C4D" w:rsidR="00AA3F0D" w:rsidRPr="00A24080" w:rsidRDefault="00AA3F0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Un sponsor care securitizează și active proprii trebuie să completeze rândurile aferente inițiatorului cu informațiile referitoare la activele proprii securitizate.</w:t>
                  </w:r>
                </w:p>
              </w:tc>
            </w:tr>
          </w:tbl>
          <w:p w14:paraId="31B5C70B" w14:textId="77777777" w:rsidR="00AA3F0D" w:rsidRPr="00A24080" w:rsidRDefault="00AA3F0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774"/>
              <w:gridCol w:w="4143"/>
            </w:tblGrid>
            <w:tr w:rsidR="00AA3F0D" w:rsidRPr="00EE7DB0" w14:paraId="4FCDBE26" w14:textId="77777777" w:rsidTr="003146FA">
              <w:tc>
                <w:tcPr>
                  <w:tcW w:w="774" w:type="dxa"/>
                </w:tcPr>
                <w:p w14:paraId="2F3F0069"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sz w:val="22"/>
                      <w:szCs w:val="22"/>
                    </w:rPr>
                    <w:t>0090-0110</w:t>
                  </w:r>
                </w:p>
              </w:tc>
              <w:tc>
                <w:tcPr>
                  <w:tcW w:w="4143" w:type="dxa"/>
                </w:tcPr>
                <w:p w14:paraId="1EFF8BDF" w14:textId="77777777" w:rsidR="00AA3F0D" w:rsidRPr="00A24080" w:rsidRDefault="00AA3F0D"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SPONSOR</w:t>
                  </w:r>
                </w:p>
                <w:p w14:paraId="4CA5A7AD" w14:textId="5F6AE9F5" w:rsidR="00AA3F0D" w:rsidRPr="00A24080" w:rsidRDefault="00493D8E" w:rsidP="0028208B">
                  <w:pPr>
                    <w:framePr w:hSpace="180" w:wrap="around" w:vAnchor="text" w:hAnchor="text" w:x="-612" w:y="1"/>
                    <w:suppressAutoHyphens/>
                    <w:autoSpaceDE w:val="0"/>
                    <w:autoSpaceDN w:val="0"/>
                    <w:adjustRightInd w:val="0"/>
                    <w:suppressOverlap/>
                    <w:jc w:val="both"/>
                    <w:rPr>
                      <w:rStyle w:val="InstructionsTabelleText"/>
                      <w:rFonts w:ascii="Times New Roman" w:hAnsi="Times New Roman"/>
                      <w:sz w:val="22"/>
                      <w:szCs w:val="22"/>
                      <w:lang w:val="ro-RO"/>
                    </w:rPr>
                  </w:pPr>
                  <w:r w:rsidRPr="00A24080">
                    <w:rPr>
                      <w:sz w:val="22"/>
                      <w:szCs w:val="22"/>
                      <w:lang w:val="ro-RO"/>
                    </w:rPr>
                    <w:t>Subpct.3.28 din Regulamentul nr.221/2025</w:t>
                  </w:r>
                  <w:r w:rsidR="00AA3F0D" w:rsidRPr="00A24080">
                    <w:rPr>
                      <w:rStyle w:val="InstructionsTabelleText"/>
                      <w:rFonts w:ascii="Times New Roman" w:hAnsi="Times New Roman"/>
                      <w:sz w:val="22"/>
                      <w:szCs w:val="22"/>
                      <w:lang w:val="ro-RO"/>
                    </w:rPr>
                    <w:t xml:space="preserve">. </w:t>
                  </w:r>
                </w:p>
                <w:p w14:paraId="0A1E847F" w14:textId="77777777" w:rsidR="00AA3F0D" w:rsidRPr="00A24080" w:rsidRDefault="00AA3F0D"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Un sponsor care securitizează și active proprii trebuie să completeze rândurile aferente inițiatorului cu informațiile referitoare la activele proprii securitizate.</w:t>
                  </w:r>
                </w:p>
              </w:tc>
            </w:tr>
          </w:tbl>
          <w:p w14:paraId="25A1C37E" w14:textId="77777777" w:rsidR="00AA3F0D" w:rsidRPr="00A24080" w:rsidRDefault="00AA3F0D" w:rsidP="0028208B">
            <w:pPr>
              <w:ind w:right="90"/>
              <w:jc w:val="both"/>
              <w:rPr>
                <w:sz w:val="22"/>
                <w:szCs w:val="22"/>
                <w:lang w:val="ro-RO"/>
              </w:rPr>
            </w:pPr>
          </w:p>
        </w:tc>
        <w:tc>
          <w:tcPr>
            <w:tcW w:w="1418" w:type="dxa"/>
          </w:tcPr>
          <w:p w14:paraId="49D59216" w14:textId="6D0091D8"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152439D" w14:textId="77777777" w:rsidR="00AA3F0D" w:rsidRPr="00A24080" w:rsidRDefault="00AA3F0D" w:rsidP="0028208B">
            <w:pPr>
              <w:jc w:val="both"/>
              <w:rPr>
                <w:bCs/>
                <w:sz w:val="22"/>
                <w:szCs w:val="22"/>
                <w:lang w:val="ro-RO"/>
              </w:rPr>
            </w:pPr>
          </w:p>
        </w:tc>
      </w:tr>
      <w:tr w:rsidR="00AA3F0D" w:rsidRPr="00A24080" w14:paraId="240689C9" w14:textId="77777777" w:rsidTr="0028208B">
        <w:tc>
          <w:tcPr>
            <w:tcW w:w="5143" w:type="dxa"/>
          </w:tcPr>
          <w:p w14:paraId="3A124887" w14:textId="678F6716" w:rsidR="00AA3F0D" w:rsidRPr="00A24080" w:rsidRDefault="00AA3F0D" w:rsidP="0028208B">
            <w:pPr>
              <w:ind w:right="90"/>
              <w:jc w:val="both"/>
              <w:rPr>
                <w:sz w:val="22"/>
                <w:szCs w:val="22"/>
                <w:lang w:val="ro-RO"/>
              </w:rPr>
            </w:pPr>
            <w:r w:rsidRPr="00A24080">
              <w:rPr>
                <w:sz w:val="22"/>
                <w:szCs w:val="22"/>
                <w:lang w:val="ro-RO"/>
              </w:rPr>
              <w:t>5.3. C 20.01 – Riscul de piață: abordarea standardizată simplificată pentru riscul specific în cazul pozițiilor alocate portofoliului de tranzacționare pe bază de corelație (MKR SSA CTP)</w:t>
            </w:r>
          </w:p>
        </w:tc>
        <w:tc>
          <w:tcPr>
            <w:tcW w:w="5103" w:type="dxa"/>
          </w:tcPr>
          <w:p w14:paraId="6A753C0E" w14:textId="239E3D56" w:rsidR="00AA3F0D" w:rsidRPr="00A24080" w:rsidRDefault="00894DC5" w:rsidP="0028208B">
            <w:pPr>
              <w:ind w:right="90"/>
              <w:jc w:val="both"/>
              <w:rPr>
                <w:sz w:val="22"/>
                <w:szCs w:val="22"/>
                <w:lang w:val="ro-RO"/>
              </w:rPr>
            </w:pPr>
            <w:r w:rsidRPr="00A24080">
              <w:rPr>
                <w:b/>
                <w:i/>
                <w:sz w:val="22"/>
                <w:szCs w:val="22"/>
                <w:lang w:val="ro-RO"/>
              </w:rPr>
              <w:t>Secțiunea 4</w:t>
            </w:r>
            <w:r w:rsidRPr="00A24080">
              <w:rPr>
                <w:sz w:val="22"/>
                <w:szCs w:val="22"/>
                <w:lang w:val="ro-RO"/>
              </w:rPr>
              <w:t xml:space="preserve">. </w:t>
            </w:r>
            <w:r w:rsidR="00AA3F0D" w:rsidRPr="00A24080">
              <w:rPr>
                <w:sz w:val="22"/>
                <w:szCs w:val="22"/>
                <w:lang w:val="ro-RO"/>
              </w:rPr>
              <w:t>C 20.01 – Riscul de piață: abordarea standardizată simplificată pentru riscul specific în cazul pozițiilor alocate portofoliului de tranzacționare pe bază de corelație (MKR SSA CTP)</w:t>
            </w:r>
          </w:p>
        </w:tc>
        <w:tc>
          <w:tcPr>
            <w:tcW w:w="1418" w:type="dxa"/>
          </w:tcPr>
          <w:p w14:paraId="2E8DDD33" w14:textId="6CB15F44" w:rsidR="00AA3F0D" w:rsidRPr="00A24080" w:rsidRDefault="00AA273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36BA786" w14:textId="77777777" w:rsidR="00AA3F0D" w:rsidRPr="00A24080" w:rsidRDefault="00AA3F0D" w:rsidP="0028208B">
            <w:pPr>
              <w:jc w:val="both"/>
              <w:rPr>
                <w:bCs/>
                <w:sz w:val="22"/>
                <w:szCs w:val="22"/>
                <w:lang w:val="ro-RO"/>
              </w:rPr>
            </w:pPr>
          </w:p>
        </w:tc>
      </w:tr>
      <w:tr w:rsidR="00AA3F0D" w:rsidRPr="00A24080" w14:paraId="1F4DF367" w14:textId="77777777" w:rsidTr="0028208B">
        <w:tc>
          <w:tcPr>
            <w:tcW w:w="5143" w:type="dxa"/>
          </w:tcPr>
          <w:p w14:paraId="43AF6DC3" w14:textId="5DB506D7" w:rsidR="00AA3F0D" w:rsidRPr="00A24080" w:rsidRDefault="00AA3F0D" w:rsidP="0028208B">
            <w:pPr>
              <w:ind w:right="90"/>
              <w:jc w:val="both"/>
              <w:rPr>
                <w:sz w:val="22"/>
                <w:szCs w:val="22"/>
                <w:lang w:val="ro-RO"/>
              </w:rPr>
            </w:pPr>
            <w:r w:rsidRPr="00A24080">
              <w:rPr>
                <w:sz w:val="22"/>
                <w:szCs w:val="22"/>
                <w:lang w:val="ro-RO"/>
              </w:rPr>
              <w:t>5.3.1. Observații generale</w:t>
            </w:r>
          </w:p>
        </w:tc>
        <w:tc>
          <w:tcPr>
            <w:tcW w:w="5103" w:type="dxa"/>
          </w:tcPr>
          <w:p w14:paraId="3C12B68B" w14:textId="08A3E436" w:rsidR="00AA3F0D" w:rsidRPr="00A24080" w:rsidRDefault="00894DC5" w:rsidP="0028208B">
            <w:pPr>
              <w:ind w:right="90"/>
              <w:jc w:val="both"/>
              <w:rPr>
                <w:sz w:val="22"/>
                <w:szCs w:val="22"/>
                <w:lang w:val="ro-RO"/>
              </w:rPr>
            </w:pPr>
            <w:r w:rsidRPr="00A24080">
              <w:rPr>
                <w:sz w:val="22"/>
                <w:szCs w:val="22"/>
                <w:lang w:val="ro-RO"/>
              </w:rPr>
              <w:t>Subsecțiunea 1.</w:t>
            </w:r>
            <w:r w:rsidR="00AA3F0D" w:rsidRPr="00A24080">
              <w:rPr>
                <w:sz w:val="22"/>
                <w:szCs w:val="22"/>
                <w:lang w:val="ro-RO"/>
              </w:rPr>
              <w:t xml:space="preserve"> Observații generale</w:t>
            </w:r>
          </w:p>
        </w:tc>
        <w:tc>
          <w:tcPr>
            <w:tcW w:w="1418" w:type="dxa"/>
          </w:tcPr>
          <w:p w14:paraId="34F1D122" w14:textId="3C9C9057" w:rsidR="00AA3F0D"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BF0C8A3" w14:textId="77777777" w:rsidR="00AA3F0D" w:rsidRPr="00A24080" w:rsidRDefault="00AA3F0D" w:rsidP="0028208B">
            <w:pPr>
              <w:jc w:val="both"/>
              <w:rPr>
                <w:bCs/>
                <w:sz w:val="22"/>
                <w:szCs w:val="22"/>
                <w:lang w:val="ro-RO"/>
              </w:rPr>
            </w:pPr>
          </w:p>
        </w:tc>
      </w:tr>
      <w:tr w:rsidR="00AA3F0D" w:rsidRPr="00A24080" w14:paraId="0B02B217" w14:textId="77777777" w:rsidTr="0028208B">
        <w:tc>
          <w:tcPr>
            <w:tcW w:w="5143" w:type="dxa"/>
          </w:tcPr>
          <w:p w14:paraId="04BFB58B" w14:textId="27748B6A" w:rsidR="00AA3F0D" w:rsidRPr="00A24080" w:rsidRDefault="00AA3F0D" w:rsidP="0028208B">
            <w:pPr>
              <w:ind w:right="90"/>
              <w:jc w:val="both"/>
              <w:rPr>
                <w:sz w:val="22"/>
                <w:szCs w:val="22"/>
                <w:lang w:val="ro-RO"/>
              </w:rPr>
            </w:pPr>
            <w:r w:rsidRPr="00A24080">
              <w:rPr>
                <w:sz w:val="22"/>
                <w:szCs w:val="22"/>
                <w:lang w:val="ro-RO"/>
              </w:rPr>
              <w:lastRenderedPageBreak/>
              <w:t>165. Acest formular prevede furnizarea de informații cu privire la pozițiile din portofoliul de tranzacționare pe bază de corelație (CTP) [cuprinzând securitizări, instrumente financiare derivate de credit de tipul «n-th-to-default» și alte poziții din CTP incluse în conformitate cu articolul 338 alineatul (3) din Regulamentul (UE) nr. 575/2013] și la cerințele de fonduri proprii corespunzătoare conform abordării standardizate.</w:t>
            </w:r>
          </w:p>
        </w:tc>
        <w:tc>
          <w:tcPr>
            <w:tcW w:w="5103" w:type="dxa"/>
          </w:tcPr>
          <w:p w14:paraId="49A44992" w14:textId="3F2090B1" w:rsidR="00AA3F0D" w:rsidRPr="00A24080" w:rsidRDefault="00870B9F" w:rsidP="0028208B">
            <w:pPr>
              <w:ind w:right="90"/>
              <w:jc w:val="both"/>
              <w:rPr>
                <w:sz w:val="22"/>
                <w:szCs w:val="22"/>
                <w:lang w:val="ro-RO"/>
              </w:rPr>
            </w:pPr>
            <w:r w:rsidRPr="00A24080">
              <w:rPr>
                <w:sz w:val="22"/>
                <w:szCs w:val="22"/>
                <w:lang w:val="ro-RO"/>
              </w:rPr>
              <w:t>8</w:t>
            </w:r>
            <w:r w:rsidR="00AA3F0D" w:rsidRPr="00A24080">
              <w:rPr>
                <w:sz w:val="22"/>
                <w:szCs w:val="22"/>
                <w:lang w:val="ro-RO"/>
              </w:rPr>
              <w:t>. Acest formular prevede furnizarea de informații cu privire la pozițiile din portofoliul de tranzacționare pe bază de corelație (CTP) [cuprinzând securitizări, instrumente financiare derivate de credit de tipul «n-th-to-default» și alte poziții din CTP incluse în conformitate cu</w:t>
            </w:r>
            <w:r w:rsidR="001D244F" w:rsidRPr="00A24080">
              <w:rPr>
                <w:sz w:val="22"/>
                <w:szCs w:val="22"/>
                <w:lang w:val="ro-RO"/>
              </w:rPr>
              <w:t xml:space="preserve"> Regulamentul nr.XX/2026</w:t>
            </w:r>
            <w:r w:rsidR="00AA3F0D" w:rsidRPr="00A24080">
              <w:rPr>
                <w:sz w:val="22"/>
                <w:szCs w:val="22"/>
                <w:lang w:val="ro-RO"/>
              </w:rPr>
              <w:t>] și la cerințele de fonduri proprii corespunzătoare conform abordării standardizate.</w:t>
            </w:r>
          </w:p>
        </w:tc>
        <w:tc>
          <w:tcPr>
            <w:tcW w:w="1418" w:type="dxa"/>
          </w:tcPr>
          <w:p w14:paraId="3EA74918" w14:textId="1474F3B6" w:rsidR="00AA3F0D" w:rsidRPr="00A24080" w:rsidRDefault="00565ADE"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2ABFC81" w14:textId="77777777" w:rsidR="00AA3F0D" w:rsidRPr="00A24080" w:rsidRDefault="00AA3F0D" w:rsidP="0028208B">
            <w:pPr>
              <w:jc w:val="both"/>
              <w:rPr>
                <w:bCs/>
                <w:sz w:val="22"/>
                <w:szCs w:val="22"/>
                <w:lang w:val="ro-RO"/>
              </w:rPr>
            </w:pPr>
          </w:p>
        </w:tc>
      </w:tr>
      <w:tr w:rsidR="00AA3F0D" w:rsidRPr="00A24080" w14:paraId="776B8094" w14:textId="77777777" w:rsidTr="0028208B">
        <w:tc>
          <w:tcPr>
            <w:tcW w:w="5143" w:type="dxa"/>
          </w:tcPr>
          <w:p w14:paraId="261EBB9F" w14:textId="75B6B2C6" w:rsidR="00AA3F0D" w:rsidRPr="00A24080" w:rsidRDefault="00AA3F0D" w:rsidP="0028208B">
            <w:pPr>
              <w:ind w:right="90"/>
              <w:jc w:val="both"/>
              <w:rPr>
                <w:sz w:val="22"/>
                <w:szCs w:val="22"/>
                <w:lang w:val="ro-RO"/>
              </w:rPr>
            </w:pPr>
            <w:r w:rsidRPr="00A24080">
              <w:rPr>
                <w:sz w:val="22"/>
                <w:szCs w:val="22"/>
                <w:lang w:val="ro-RO"/>
              </w:rPr>
              <w:t>166.</w:t>
            </w:r>
            <w:r w:rsidRPr="00A24080">
              <w:rPr>
                <w:sz w:val="22"/>
                <w:szCs w:val="22"/>
                <w:lang w:val="ro-RO"/>
              </w:rPr>
              <w:tab/>
              <w:t xml:space="preserve"> Formularul MKR SSA CTP prezintă cerința de fonduri proprii numai pentru riscul specific aferent pozițiilor alocate CTP în conformitate cu articolul 335 din Regulamentul (UE) nr. 575/2013 coroborat cu articolul 338 alineatele (2) și (3) din regulamentul respectiv. În cazul în care pozițiile alocate portofoliului de tranzacționare pe bază de corelație din portofoliul de tranzacționare sunt acoperite prin instrumente financiare derivate de credit, se aplică articolele 346 și 347 din Regulamentul (UE) nr. 575/2013. Există un singur formular pentru toate pozițiile CTP din portofoliul de tranzacționare, indiferent de abordarea aplicată de instituții pentru a determina ponderea de risc pentru fiecare poziție în conformitate cu partea a treia titlul II capitolul 5 din Regulamentul (UE) nr. 575/2013. Cerințele de fonduri proprii pentru riscul general al acestor poziții se raportează în formularul MKR SSA TDI sau în formularul MKR IM.</w:t>
            </w:r>
          </w:p>
        </w:tc>
        <w:tc>
          <w:tcPr>
            <w:tcW w:w="5103" w:type="dxa"/>
          </w:tcPr>
          <w:p w14:paraId="04107B56" w14:textId="71ECEB63" w:rsidR="00AA3F0D" w:rsidRPr="00A24080" w:rsidRDefault="00870B9F" w:rsidP="0028208B">
            <w:pPr>
              <w:ind w:right="90"/>
              <w:jc w:val="both"/>
              <w:rPr>
                <w:sz w:val="22"/>
                <w:szCs w:val="22"/>
                <w:lang w:val="ro-RO"/>
              </w:rPr>
            </w:pPr>
            <w:r w:rsidRPr="00A24080">
              <w:rPr>
                <w:sz w:val="22"/>
                <w:szCs w:val="22"/>
                <w:lang w:val="ro-RO"/>
              </w:rPr>
              <w:t>9</w:t>
            </w:r>
            <w:r w:rsidR="00AA3F0D" w:rsidRPr="00A24080">
              <w:rPr>
                <w:sz w:val="22"/>
                <w:szCs w:val="22"/>
                <w:lang w:val="ro-RO"/>
              </w:rPr>
              <w:t>.</w:t>
            </w:r>
            <w:r w:rsidR="00AA3F0D" w:rsidRPr="00A24080">
              <w:rPr>
                <w:sz w:val="22"/>
                <w:szCs w:val="22"/>
                <w:lang w:val="ro-RO"/>
              </w:rPr>
              <w:tab/>
              <w:t xml:space="preserve"> Formularul MKR SSA CTP prezintă cerința de fonduri proprii numai pentru riscul specific aferent pozițiilor alocate CTP în conformitate cu </w:t>
            </w:r>
            <w:r w:rsidR="009064E0" w:rsidRPr="00A24080">
              <w:rPr>
                <w:sz w:val="22"/>
                <w:szCs w:val="22"/>
                <w:lang w:val="ro-RO"/>
              </w:rPr>
              <w:t>pct.435 din Regulamentul nr.XX/2026</w:t>
            </w:r>
            <w:r w:rsidR="00AA3F0D" w:rsidRPr="00A24080">
              <w:rPr>
                <w:sz w:val="22"/>
                <w:szCs w:val="22"/>
                <w:lang w:val="ro-RO"/>
              </w:rPr>
              <w:t xml:space="preserve"> coroborat cu </w:t>
            </w:r>
            <w:r w:rsidR="00297E1E" w:rsidRPr="00A24080">
              <w:rPr>
                <w:sz w:val="22"/>
                <w:szCs w:val="22"/>
                <w:lang w:val="ro-RO"/>
              </w:rPr>
              <w:t>pct.448</w:t>
            </w:r>
            <w:r w:rsidR="00AA3F0D" w:rsidRPr="00A24080">
              <w:rPr>
                <w:sz w:val="22"/>
                <w:szCs w:val="22"/>
                <w:lang w:val="ro-RO"/>
              </w:rPr>
              <w:t xml:space="preserve"> din regulamentul respectiv. În cazul în care pozițiile alocate portofoliului de tranzacționare pe bază de corelație din portofoliul de tranzacționare sunt acoperite prin instrumente financiare derivate de credit, se aplică </w:t>
            </w:r>
            <w:r w:rsidRPr="00A24080">
              <w:rPr>
                <w:sz w:val="22"/>
                <w:szCs w:val="22"/>
                <w:lang w:val="ro-RO"/>
              </w:rPr>
              <w:t>titlul II capitolul IV secțiunea 5</w:t>
            </w:r>
            <w:r w:rsidR="00AA3F0D" w:rsidRPr="00A24080">
              <w:rPr>
                <w:sz w:val="22"/>
                <w:szCs w:val="22"/>
                <w:lang w:val="ro-RO"/>
              </w:rPr>
              <w:t xml:space="preserve"> din Regulamentul </w:t>
            </w:r>
            <w:r w:rsidRPr="00A24080">
              <w:rPr>
                <w:sz w:val="22"/>
                <w:szCs w:val="22"/>
                <w:lang w:val="ro-RO"/>
              </w:rPr>
              <w:t>nr.XX/2026</w:t>
            </w:r>
            <w:r w:rsidR="00AA3F0D" w:rsidRPr="00A24080">
              <w:rPr>
                <w:sz w:val="22"/>
                <w:szCs w:val="22"/>
                <w:lang w:val="ro-RO"/>
              </w:rPr>
              <w:t xml:space="preserve">. Există un singur formular pentru toate pozițiile CTP din portofoliul de tranzacționare, indiferent de abordarea aplicată de </w:t>
            </w:r>
            <w:r w:rsidR="002E1738" w:rsidRPr="00A24080">
              <w:rPr>
                <w:sz w:val="22"/>
                <w:szCs w:val="22"/>
                <w:lang w:val="ro-RO"/>
              </w:rPr>
              <w:t xml:space="preserve">bănci </w:t>
            </w:r>
            <w:r w:rsidR="00AA3F0D" w:rsidRPr="00A24080">
              <w:rPr>
                <w:sz w:val="22"/>
                <w:szCs w:val="22"/>
                <w:lang w:val="ro-RO"/>
              </w:rPr>
              <w:t xml:space="preserve">pentru a determina ponderea de risc pentru fiecare poziție în conformitate cu </w:t>
            </w:r>
            <w:r w:rsidRPr="00A24080">
              <w:rPr>
                <w:sz w:val="22"/>
                <w:szCs w:val="22"/>
                <w:lang w:val="ro-RO"/>
              </w:rPr>
              <w:t>Regulamentul nr.221/2025</w:t>
            </w:r>
            <w:r w:rsidR="00AA3F0D" w:rsidRPr="00A24080">
              <w:rPr>
                <w:sz w:val="22"/>
                <w:szCs w:val="22"/>
                <w:lang w:val="ro-RO"/>
              </w:rPr>
              <w:t>. Cerințele de fonduri proprii pentru riscul general al acestor poziții se raportează în formularul MKR SSA TDI sau în formularul MKR IM.</w:t>
            </w:r>
          </w:p>
        </w:tc>
        <w:tc>
          <w:tcPr>
            <w:tcW w:w="1418" w:type="dxa"/>
          </w:tcPr>
          <w:p w14:paraId="07584B0B" w14:textId="715F405C" w:rsidR="00AA3F0D" w:rsidRPr="00A24080" w:rsidRDefault="00565ADE"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1438C55" w14:textId="77777777" w:rsidR="00AA3F0D" w:rsidRPr="00A24080" w:rsidRDefault="00AA3F0D" w:rsidP="0028208B">
            <w:pPr>
              <w:jc w:val="both"/>
              <w:rPr>
                <w:bCs/>
                <w:sz w:val="22"/>
                <w:szCs w:val="22"/>
                <w:lang w:val="ro-RO"/>
              </w:rPr>
            </w:pPr>
          </w:p>
        </w:tc>
      </w:tr>
      <w:tr w:rsidR="00AA3F0D" w:rsidRPr="00A24080" w14:paraId="6995C98C" w14:textId="77777777" w:rsidTr="0028208B">
        <w:tc>
          <w:tcPr>
            <w:tcW w:w="5143" w:type="dxa"/>
          </w:tcPr>
          <w:p w14:paraId="489D5D22" w14:textId="5BE3FFF1" w:rsidR="00AA3F0D" w:rsidRPr="00A24080" w:rsidRDefault="00AA3F0D" w:rsidP="0028208B">
            <w:pPr>
              <w:ind w:right="90"/>
              <w:jc w:val="both"/>
              <w:rPr>
                <w:sz w:val="22"/>
                <w:szCs w:val="22"/>
                <w:lang w:val="ro-RO"/>
              </w:rPr>
            </w:pPr>
            <w:r w:rsidRPr="00A24080">
              <w:rPr>
                <w:sz w:val="22"/>
                <w:szCs w:val="22"/>
                <w:lang w:val="ro-RO"/>
              </w:rPr>
              <w:t>167.</w:t>
            </w:r>
            <w:r w:rsidRPr="00A24080">
              <w:rPr>
                <w:sz w:val="22"/>
                <w:szCs w:val="22"/>
                <w:lang w:val="ro-RO"/>
              </w:rPr>
              <w:tab/>
              <w:t xml:space="preserve"> Formularul separă pozițiile din securitizare de instrumentele financiare derivate de credit de tipul «n-th-to-default» și de alte poziții alocate portofoliului de tranzacționare pe bază de corelație. Pozițiile din securitizare se raportează întotdeauna pe rândurile 0030, 0060 sau 0090 (în funcție de rolul instituției în securitizarea respectivă). Instrumentele financiare derivate de credit de tipul «n-th-to-default» sunt </w:t>
            </w:r>
            <w:r w:rsidRPr="00A24080">
              <w:rPr>
                <w:sz w:val="22"/>
                <w:szCs w:val="22"/>
                <w:lang w:val="ro-RO"/>
              </w:rPr>
              <w:lastRenderedPageBreak/>
              <w:t>întotdeauna raportate pe rândul 0110. «Celelalte poziții alocate portofoliului de tranzacționare pe bază de corelație» sunt pozițiile care nu sunt nici poziții din securitizare și nici instrumente financiare derivate de credit de tipul «n-th-to-default» [a se vedea articolul 338 alineatul (3) din Regulamentul (UE) nr. 575/2013], dar sunt în mod explicit «legate» de una dintre aceste două poziții (din cauza intenției de acoperire împotriva riscurilor).</w:t>
            </w:r>
          </w:p>
        </w:tc>
        <w:tc>
          <w:tcPr>
            <w:tcW w:w="5103" w:type="dxa"/>
          </w:tcPr>
          <w:p w14:paraId="580AC05C" w14:textId="046C1E6D" w:rsidR="00AA3F0D" w:rsidRPr="00A24080" w:rsidRDefault="006D3C0D" w:rsidP="0028208B">
            <w:pPr>
              <w:ind w:right="90"/>
              <w:jc w:val="both"/>
              <w:rPr>
                <w:sz w:val="22"/>
                <w:szCs w:val="22"/>
                <w:lang w:val="ro-RO"/>
              </w:rPr>
            </w:pPr>
            <w:r w:rsidRPr="00A24080">
              <w:rPr>
                <w:sz w:val="22"/>
                <w:szCs w:val="22"/>
                <w:lang w:val="ro-RO"/>
              </w:rPr>
              <w:lastRenderedPageBreak/>
              <w:t>10</w:t>
            </w:r>
            <w:r w:rsidR="00AA3F0D" w:rsidRPr="00A24080">
              <w:rPr>
                <w:sz w:val="22"/>
                <w:szCs w:val="22"/>
                <w:lang w:val="ro-RO"/>
              </w:rPr>
              <w:t>.</w:t>
            </w:r>
            <w:r w:rsidR="00AA3F0D" w:rsidRPr="00A24080">
              <w:rPr>
                <w:sz w:val="22"/>
                <w:szCs w:val="22"/>
                <w:lang w:val="ro-RO"/>
              </w:rPr>
              <w:tab/>
              <w:t xml:space="preserve"> Formularul separă pozițiile din securitizare de instrumentele financiare derivate de credit de tipul «n-th-to-default» și de alte poziții alocate portofoliului de tranzacționare pe bază de corelație. Pozițiile din securitizare se raportează întotdeauna pe rândurile 0030, 0060 sau 0090 (în funcție de rolul </w:t>
            </w:r>
            <w:r w:rsidR="002E1738" w:rsidRPr="00A24080">
              <w:rPr>
                <w:sz w:val="22"/>
                <w:szCs w:val="22"/>
                <w:lang w:val="ro-RO"/>
              </w:rPr>
              <w:t xml:space="preserve">băncii </w:t>
            </w:r>
            <w:r w:rsidR="00AA3F0D" w:rsidRPr="00A24080">
              <w:rPr>
                <w:sz w:val="22"/>
                <w:szCs w:val="22"/>
                <w:lang w:val="ro-RO"/>
              </w:rPr>
              <w:t xml:space="preserve">în securitizarea respectivă). Instrumentele financiare derivate de credit de tipul «n-th-to-default» sunt </w:t>
            </w:r>
            <w:r w:rsidR="00AA3F0D" w:rsidRPr="00A24080">
              <w:rPr>
                <w:sz w:val="22"/>
                <w:szCs w:val="22"/>
                <w:lang w:val="ro-RO"/>
              </w:rPr>
              <w:lastRenderedPageBreak/>
              <w:t>întotdeauna raportate pe rândul 0110. «Celelalte poziții alocate portofoliului de tranzacționare pe bază de corelație» sunt pozițiile care nu sunt nici poziții din securitizare și nici instrumente financiare derivate de credit de tipul «n-th-to-default», dar sunt în mod explicit «legate» de una dintre aceste două poziții (din cauza intenției de acoperire împotriva riscurilor).</w:t>
            </w:r>
          </w:p>
        </w:tc>
        <w:tc>
          <w:tcPr>
            <w:tcW w:w="1418" w:type="dxa"/>
          </w:tcPr>
          <w:p w14:paraId="2F826F8D" w14:textId="04054B7F" w:rsidR="00AA3F0D" w:rsidRPr="00A24080" w:rsidRDefault="0010565D"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9FE3DCE" w14:textId="77777777" w:rsidR="00AA3F0D" w:rsidRPr="00A24080" w:rsidRDefault="00AA3F0D" w:rsidP="0028208B">
            <w:pPr>
              <w:jc w:val="both"/>
              <w:rPr>
                <w:bCs/>
                <w:sz w:val="22"/>
                <w:szCs w:val="22"/>
                <w:lang w:val="ro-RO"/>
              </w:rPr>
            </w:pPr>
          </w:p>
        </w:tc>
      </w:tr>
      <w:tr w:rsidR="00AA3F0D" w:rsidRPr="00A24080" w14:paraId="0CFE3E08" w14:textId="77777777" w:rsidTr="0028208B">
        <w:tc>
          <w:tcPr>
            <w:tcW w:w="5143" w:type="dxa"/>
          </w:tcPr>
          <w:p w14:paraId="6ED4861B" w14:textId="6BE8D283" w:rsidR="00AA3F0D" w:rsidRPr="00A24080" w:rsidRDefault="00AA3F0D" w:rsidP="0028208B">
            <w:pPr>
              <w:ind w:right="90"/>
              <w:jc w:val="both"/>
              <w:rPr>
                <w:sz w:val="22"/>
                <w:szCs w:val="22"/>
                <w:lang w:val="ro-RO"/>
              </w:rPr>
            </w:pPr>
            <w:r w:rsidRPr="00A24080">
              <w:rPr>
                <w:sz w:val="22"/>
                <w:szCs w:val="22"/>
                <w:lang w:val="ro-RO"/>
              </w:rPr>
              <w:t>168.</w:t>
            </w:r>
            <w:r w:rsidRPr="00A24080">
              <w:rPr>
                <w:sz w:val="22"/>
                <w:szCs w:val="22"/>
                <w:lang w:val="ro-RO"/>
              </w:rPr>
              <w:tab/>
              <w:t xml:space="preserve"> Ca alternativă, pozițiile care primesc o pondere de risc de 1 250 % pot fi deduse din CET1 [a se vedea articolul 244 alineatul (1) litera (b), articolul 245 alineatul (1) litera (b) și articolul 253 din Regulamentul (UE) nr. 575/2013]. În acest caz, pozițiile respective trebuie raportate pe rândul 0460 din CA1.</w:t>
            </w:r>
          </w:p>
        </w:tc>
        <w:tc>
          <w:tcPr>
            <w:tcW w:w="5103" w:type="dxa"/>
          </w:tcPr>
          <w:p w14:paraId="6A29A40E" w14:textId="1B1404B0" w:rsidR="00AA3F0D" w:rsidRPr="00A24080" w:rsidRDefault="006D3C0D" w:rsidP="0028208B">
            <w:pPr>
              <w:ind w:right="90"/>
              <w:jc w:val="both"/>
              <w:rPr>
                <w:sz w:val="22"/>
                <w:szCs w:val="22"/>
                <w:lang w:val="ro-RO"/>
              </w:rPr>
            </w:pPr>
            <w:r w:rsidRPr="00A24080">
              <w:rPr>
                <w:sz w:val="22"/>
                <w:szCs w:val="22"/>
                <w:lang w:val="ro-RO"/>
              </w:rPr>
              <w:t>11</w:t>
            </w:r>
            <w:r w:rsidR="00AA3F0D" w:rsidRPr="00A24080">
              <w:rPr>
                <w:sz w:val="22"/>
                <w:szCs w:val="22"/>
                <w:lang w:val="ro-RO"/>
              </w:rPr>
              <w:t>.</w:t>
            </w:r>
            <w:r w:rsidR="00AA3F0D" w:rsidRPr="00A24080">
              <w:rPr>
                <w:sz w:val="22"/>
                <w:szCs w:val="22"/>
                <w:lang w:val="ro-RO"/>
              </w:rPr>
              <w:tab/>
              <w:t xml:space="preserve"> Ca alternativă, pozițiile care primesc o pondere de risc de 1 250 % pot fi deduse din CET1 [a se vedea </w:t>
            </w:r>
            <w:r w:rsidR="006255AB" w:rsidRPr="00A24080">
              <w:rPr>
                <w:sz w:val="22"/>
                <w:szCs w:val="22"/>
                <w:lang w:val="ro-RO"/>
              </w:rPr>
              <w:t>subpct.8.2</w:t>
            </w:r>
            <w:r w:rsidR="00AA3F0D" w:rsidRPr="00A24080">
              <w:rPr>
                <w:sz w:val="22"/>
                <w:szCs w:val="22"/>
                <w:lang w:val="ro-RO"/>
              </w:rPr>
              <w:t xml:space="preserve">, </w:t>
            </w:r>
            <w:r w:rsidR="006255AB" w:rsidRPr="00A24080">
              <w:rPr>
                <w:sz w:val="22"/>
                <w:szCs w:val="22"/>
                <w:lang w:val="ro-RO"/>
              </w:rPr>
              <w:t xml:space="preserve">13.2 </w:t>
            </w:r>
            <w:r w:rsidR="00AA3F0D" w:rsidRPr="00A24080">
              <w:rPr>
                <w:sz w:val="22"/>
                <w:szCs w:val="22"/>
                <w:lang w:val="ro-RO"/>
              </w:rPr>
              <w:t xml:space="preserve"> și </w:t>
            </w:r>
            <w:r w:rsidR="006255AB" w:rsidRPr="00A24080">
              <w:rPr>
                <w:sz w:val="22"/>
                <w:szCs w:val="22"/>
                <w:lang w:val="ro-RO"/>
              </w:rPr>
              <w:t>capitolul IV secțiunea 1 subsecțiunea 7 din Regulamentul nr.221/2025</w:t>
            </w:r>
            <w:r w:rsidR="00AA3F0D" w:rsidRPr="00A24080">
              <w:rPr>
                <w:sz w:val="22"/>
                <w:szCs w:val="22"/>
                <w:lang w:val="ro-RO"/>
              </w:rPr>
              <w:t>]. În acest caz, pozițiile respective trebuie raportate pe rândul 0460 din CA1.</w:t>
            </w:r>
          </w:p>
        </w:tc>
        <w:tc>
          <w:tcPr>
            <w:tcW w:w="1418" w:type="dxa"/>
          </w:tcPr>
          <w:p w14:paraId="5A879CCD" w14:textId="5872E8E5" w:rsidR="00AA3F0D"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F975E02" w14:textId="77777777" w:rsidR="00AA3F0D" w:rsidRPr="00A24080" w:rsidRDefault="00AA3F0D" w:rsidP="0028208B">
            <w:pPr>
              <w:jc w:val="both"/>
              <w:rPr>
                <w:bCs/>
                <w:sz w:val="22"/>
                <w:szCs w:val="22"/>
                <w:lang w:val="ro-RO"/>
              </w:rPr>
            </w:pPr>
          </w:p>
        </w:tc>
      </w:tr>
      <w:tr w:rsidR="00AA3F0D" w:rsidRPr="00A24080" w14:paraId="5729DB3F" w14:textId="77777777" w:rsidTr="0028208B">
        <w:tc>
          <w:tcPr>
            <w:tcW w:w="5143" w:type="dxa"/>
          </w:tcPr>
          <w:p w14:paraId="23129F65" w14:textId="730917A8" w:rsidR="00AA3F0D" w:rsidRPr="00A24080" w:rsidRDefault="00AA3F0D" w:rsidP="0028208B">
            <w:pPr>
              <w:ind w:right="90"/>
              <w:jc w:val="both"/>
              <w:rPr>
                <w:sz w:val="22"/>
                <w:szCs w:val="22"/>
                <w:lang w:val="ro-RO"/>
              </w:rPr>
            </w:pPr>
            <w:r w:rsidRPr="00A24080">
              <w:rPr>
                <w:sz w:val="22"/>
                <w:szCs w:val="22"/>
                <w:lang w:val="ro-RO"/>
              </w:rPr>
              <w:t>5.3.2. Instrucțiuni privind anumite poziții</w:t>
            </w:r>
          </w:p>
        </w:tc>
        <w:tc>
          <w:tcPr>
            <w:tcW w:w="5103" w:type="dxa"/>
          </w:tcPr>
          <w:p w14:paraId="1C79B472" w14:textId="4F1B8D85" w:rsidR="00AA3F0D" w:rsidRPr="00A24080" w:rsidRDefault="00AA3F0D" w:rsidP="0028208B">
            <w:pPr>
              <w:ind w:right="90"/>
              <w:rPr>
                <w:sz w:val="22"/>
                <w:szCs w:val="22"/>
                <w:lang w:val="ro-RO"/>
              </w:rPr>
            </w:pPr>
            <w:r w:rsidRPr="00A24080">
              <w:rPr>
                <w:sz w:val="22"/>
                <w:szCs w:val="22"/>
                <w:lang w:val="ro-RO"/>
              </w:rPr>
              <w:t>Instrucțiuni privind anumite poziții</w:t>
            </w:r>
          </w:p>
        </w:tc>
        <w:tc>
          <w:tcPr>
            <w:tcW w:w="1418" w:type="dxa"/>
          </w:tcPr>
          <w:p w14:paraId="040C2939" w14:textId="3150827C" w:rsidR="00AA3F0D"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1961ED6" w14:textId="77777777" w:rsidR="00AA3F0D" w:rsidRPr="00A24080" w:rsidRDefault="00AA3F0D" w:rsidP="0028208B">
            <w:pPr>
              <w:jc w:val="both"/>
              <w:rPr>
                <w:bCs/>
                <w:sz w:val="22"/>
                <w:szCs w:val="22"/>
                <w:lang w:val="ro-RO"/>
              </w:rPr>
            </w:pPr>
          </w:p>
        </w:tc>
      </w:tr>
      <w:tr w:rsidR="007A1C98" w:rsidRPr="00A24080" w14:paraId="4072EF0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7F5396CE" w14:textId="77777777" w:rsidTr="007A1C98">
              <w:tc>
                <w:tcPr>
                  <w:tcW w:w="4917" w:type="dxa"/>
                  <w:gridSpan w:val="2"/>
                  <w:shd w:val="clear" w:color="auto" w:fill="D0CECE" w:themeFill="background2" w:themeFillShade="E6"/>
                </w:tcPr>
                <w:p w14:paraId="70336917" w14:textId="45AE249C" w:rsidR="007A1C98" w:rsidRPr="00A24080" w:rsidRDefault="007A1C98"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7A1C98" w:rsidRPr="00EE7DB0" w14:paraId="0D621121" w14:textId="77777777" w:rsidTr="00AA3F0D">
              <w:tc>
                <w:tcPr>
                  <w:tcW w:w="1056" w:type="dxa"/>
                </w:tcPr>
                <w:p w14:paraId="44CD5BFD" w14:textId="2CD75EF4"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tcPr>
                <w:p w14:paraId="5D627222" w14:textId="77777777" w:rsidR="007A1C98" w:rsidRPr="00A24080" w:rsidRDefault="007A1C98"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TOATE POZIȚIILE (LUNGI ȘI SCURTE)</w:t>
                  </w:r>
                </w:p>
                <w:p w14:paraId="24C164BC" w14:textId="77777777" w:rsidR="007A1C98" w:rsidRPr="00A24080" w:rsidRDefault="007A1C98" w:rsidP="0028208B">
                  <w:pPr>
                    <w:framePr w:hSpace="180" w:wrap="around" w:vAnchor="text" w:hAnchor="text" w:x="-612" w:y="1"/>
                    <w:suppressAutoHyphens/>
                    <w:suppressOverlap/>
                    <w:jc w:val="both"/>
                    <w:rPr>
                      <w:sz w:val="22"/>
                      <w:szCs w:val="22"/>
                      <w:lang w:val="it-IT"/>
                    </w:rPr>
                  </w:pPr>
                  <w:r w:rsidRPr="00A24080">
                    <w:rPr>
                      <w:sz w:val="22"/>
                      <w:szCs w:val="22"/>
                      <w:lang w:val="it-IT"/>
                    </w:rPr>
                    <w:t>Articolul 102 și articolul 105 alineatul (1) din Regulamentul (UE) nr. 575/2013 coroborate cu articolul 338 alineatele (2) și (3) din regulamentul respectiv (poziții alocate portofoliului de tranzacționare pe bază de corelație)</w:t>
                  </w:r>
                </w:p>
                <w:p w14:paraId="154EDC31" w14:textId="2A4246BB"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it-IT"/>
                    </w:rPr>
                    <w:t>În ceea ce privește distincția dintre pozițiile lungi și scurte, care se aplică și în cazul acestor poziții brute, a se vedea articolul 328 alineatul (2) din Regulamentul (UE) nr. 575/2013.</w:t>
                  </w:r>
                </w:p>
              </w:tc>
            </w:tr>
          </w:tbl>
          <w:p w14:paraId="6559D287" w14:textId="7777777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08A011E7" w14:textId="77777777" w:rsidTr="007A1C98">
              <w:tc>
                <w:tcPr>
                  <w:tcW w:w="4917" w:type="dxa"/>
                  <w:gridSpan w:val="2"/>
                  <w:shd w:val="clear" w:color="auto" w:fill="D0CECE" w:themeFill="background2" w:themeFillShade="E6"/>
                </w:tcPr>
                <w:p w14:paraId="49BA3C17" w14:textId="77777777" w:rsidR="007A1C98" w:rsidRPr="00A24080" w:rsidRDefault="007A1C98"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7A1C98" w:rsidRPr="00EE7DB0" w14:paraId="3C0B890B" w14:textId="77777777" w:rsidTr="003146FA">
              <w:tc>
                <w:tcPr>
                  <w:tcW w:w="1056" w:type="dxa"/>
                </w:tcPr>
                <w:p w14:paraId="7FDB92B2"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tcPr>
                <w:p w14:paraId="2597B751" w14:textId="77777777" w:rsidR="007A1C98" w:rsidRPr="00A24080" w:rsidRDefault="007A1C98"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TOATE POZIȚIILE (LUNGI ȘI SCURTE)</w:t>
                  </w:r>
                </w:p>
                <w:p w14:paraId="4860739E" w14:textId="6E1CF15C" w:rsidR="007A1C98" w:rsidRPr="00A24080" w:rsidRDefault="0091121C" w:rsidP="0028208B">
                  <w:pPr>
                    <w:framePr w:hSpace="180" w:wrap="around" w:vAnchor="text" w:hAnchor="text" w:x="-612" w:y="1"/>
                    <w:suppressAutoHyphens/>
                    <w:suppressOverlap/>
                    <w:jc w:val="both"/>
                    <w:rPr>
                      <w:sz w:val="22"/>
                      <w:szCs w:val="22"/>
                      <w:lang w:val="it-IT"/>
                    </w:rPr>
                  </w:pPr>
                  <w:r w:rsidRPr="00A24080">
                    <w:rPr>
                      <w:sz w:val="22"/>
                      <w:szCs w:val="22"/>
                      <w:lang w:val="it-IT"/>
                    </w:rPr>
                    <w:t xml:space="preserve">Titlul II capitolul III secțiunea 1 </w:t>
                  </w:r>
                  <w:r w:rsidR="007A1C98" w:rsidRPr="00A24080">
                    <w:rPr>
                      <w:sz w:val="22"/>
                      <w:szCs w:val="22"/>
                      <w:lang w:val="it-IT"/>
                    </w:rPr>
                    <w:t xml:space="preserve">și </w:t>
                  </w:r>
                  <w:r w:rsidR="004A4A39" w:rsidRPr="00A24080">
                    <w:rPr>
                      <w:sz w:val="22"/>
                      <w:szCs w:val="22"/>
                      <w:lang w:val="it-IT"/>
                    </w:rPr>
                    <w:t>pct.41</w:t>
                  </w:r>
                  <w:r w:rsidR="007A1C98" w:rsidRPr="00A24080">
                    <w:rPr>
                      <w:sz w:val="22"/>
                      <w:szCs w:val="22"/>
                      <w:lang w:val="it-IT"/>
                    </w:rPr>
                    <w:t xml:space="preserve"> din Regulamentul </w:t>
                  </w:r>
                  <w:r w:rsidR="004A4A39" w:rsidRPr="00A24080">
                    <w:rPr>
                      <w:sz w:val="22"/>
                      <w:szCs w:val="22"/>
                      <w:lang w:val="it-IT"/>
                    </w:rPr>
                    <w:t>nr.XX/2026</w:t>
                  </w:r>
                  <w:r w:rsidR="007A1C98" w:rsidRPr="00A24080">
                    <w:rPr>
                      <w:sz w:val="22"/>
                      <w:szCs w:val="22"/>
                      <w:lang w:val="it-IT"/>
                    </w:rPr>
                    <w:t xml:space="preserve"> coroborate cu </w:t>
                  </w:r>
                  <w:r w:rsidR="00297E1E" w:rsidRPr="00A24080">
                    <w:rPr>
                      <w:sz w:val="22"/>
                      <w:szCs w:val="22"/>
                      <w:lang w:val="it-IT"/>
                    </w:rPr>
                    <w:t>pct.448</w:t>
                  </w:r>
                  <w:r w:rsidR="007A1C98" w:rsidRPr="00A24080">
                    <w:rPr>
                      <w:sz w:val="22"/>
                      <w:szCs w:val="22"/>
                      <w:lang w:val="it-IT"/>
                    </w:rPr>
                    <w:t>din regulamentul respectiv (poziții alocate portofoliului de tranzacționare pe bază de corelație)</w:t>
                  </w:r>
                </w:p>
                <w:p w14:paraId="37406265" w14:textId="67643893"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it-IT"/>
                    </w:rPr>
                    <w:t xml:space="preserve">În ceea ce privește distincția dintre pozițiile lungi și scurte, care se aplică și în cazul acestor poziții brute, a se vedea </w:t>
                  </w:r>
                  <w:r w:rsidR="00660619" w:rsidRPr="00A24080">
                    <w:rPr>
                      <w:sz w:val="22"/>
                      <w:szCs w:val="22"/>
                      <w:lang w:val="it-IT"/>
                    </w:rPr>
                    <w:t>pct.422 din Regulamentul nr.XX/2026</w:t>
                  </w:r>
                  <w:r w:rsidRPr="00A24080">
                    <w:rPr>
                      <w:sz w:val="22"/>
                      <w:szCs w:val="22"/>
                      <w:lang w:val="it-IT"/>
                    </w:rPr>
                    <w:t>.</w:t>
                  </w:r>
                </w:p>
              </w:tc>
            </w:tr>
          </w:tbl>
          <w:p w14:paraId="41EE6E05" w14:textId="77777777" w:rsidR="007A1C98" w:rsidRPr="00A24080" w:rsidRDefault="007A1C98" w:rsidP="0028208B">
            <w:pPr>
              <w:ind w:right="90"/>
              <w:rPr>
                <w:sz w:val="22"/>
                <w:szCs w:val="22"/>
                <w:lang w:val="ro-RO"/>
              </w:rPr>
            </w:pPr>
          </w:p>
        </w:tc>
        <w:tc>
          <w:tcPr>
            <w:tcW w:w="1418" w:type="dxa"/>
          </w:tcPr>
          <w:p w14:paraId="72FF7BA6" w14:textId="79D4FF5D" w:rsidR="007A1C98" w:rsidRPr="00A24080" w:rsidRDefault="0010565D"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E37743C" w14:textId="77777777" w:rsidR="007A1C98" w:rsidRPr="00A24080" w:rsidRDefault="007A1C98" w:rsidP="0028208B">
            <w:pPr>
              <w:jc w:val="both"/>
              <w:rPr>
                <w:bCs/>
                <w:sz w:val="22"/>
                <w:szCs w:val="22"/>
                <w:lang w:val="ro-RO"/>
              </w:rPr>
            </w:pPr>
          </w:p>
        </w:tc>
      </w:tr>
      <w:tr w:rsidR="007A1C98" w:rsidRPr="00A24080" w14:paraId="51B91A88"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5E5BF7C8" w14:textId="77777777" w:rsidTr="00AA3F0D">
              <w:tc>
                <w:tcPr>
                  <w:tcW w:w="1056" w:type="dxa"/>
                </w:tcPr>
                <w:p w14:paraId="218FF705" w14:textId="33373C6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3861" w:type="dxa"/>
                </w:tcPr>
                <w:p w14:paraId="691513FB" w14:textId="77777777" w:rsidR="007A1C98" w:rsidRPr="00A24080" w:rsidRDefault="007A1C98" w:rsidP="0028208B">
                  <w:pPr>
                    <w:framePr w:hSpace="180" w:wrap="around" w:vAnchor="text" w:hAnchor="text" w:x="-612" w:y="1"/>
                    <w:suppressAutoHyphens/>
                    <w:suppressOverlap/>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 POZIȚII DEDUSE DIN FONDURILE PROPRII (LUNGI ȘI SCURTE)</w:t>
                  </w:r>
                </w:p>
                <w:p w14:paraId="2B044872" w14:textId="68AC78D8"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pt-BR"/>
                    </w:rPr>
                    <w:lastRenderedPageBreak/>
                    <w:t xml:space="preserve">Articolul 253 din Regulamentul (UE) nr. 575/2013 </w:t>
                  </w:r>
                </w:p>
              </w:tc>
            </w:tr>
          </w:tbl>
          <w:p w14:paraId="38FC939A" w14:textId="119FB7D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7B437D4E" w14:textId="77777777" w:rsidTr="003146FA">
              <w:tc>
                <w:tcPr>
                  <w:tcW w:w="1056" w:type="dxa"/>
                </w:tcPr>
                <w:p w14:paraId="2195485C"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lastRenderedPageBreak/>
                    <w:t>0030-0040</w:t>
                  </w:r>
                </w:p>
              </w:tc>
              <w:tc>
                <w:tcPr>
                  <w:tcW w:w="3861" w:type="dxa"/>
                </w:tcPr>
                <w:p w14:paraId="7705B155" w14:textId="77777777" w:rsidR="007A1C98" w:rsidRPr="00A24080" w:rsidRDefault="007A1C98" w:rsidP="0028208B">
                  <w:pPr>
                    <w:framePr w:hSpace="180" w:wrap="around" w:vAnchor="text" w:hAnchor="text" w:x="-612" w:y="1"/>
                    <w:suppressAutoHyphens/>
                    <w:suppressOverlap/>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 POZIȚII DEDUSE DIN FONDURILE PROPRII (LUNGI ȘI SCURTE)</w:t>
                  </w:r>
                </w:p>
                <w:p w14:paraId="307107C2" w14:textId="0ADB5DCF" w:rsidR="007A1C98" w:rsidRPr="00A24080" w:rsidRDefault="006255AB" w:rsidP="0028208B">
                  <w:pPr>
                    <w:framePr w:hSpace="180" w:wrap="around" w:vAnchor="text" w:hAnchor="text" w:x="-612" w:y="1"/>
                    <w:ind w:right="90"/>
                    <w:suppressOverlap/>
                    <w:jc w:val="both"/>
                    <w:rPr>
                      <w:sz w:val="22"/>
                      <w:szCs w:val="22"/>
                      <w:lang w:val="ro-RO"/>
                    </w:rPr>
                  </w:pPr>
                  <w:r w:rsidRPr="00A24080">
                    <w:rPr>
                      <w:sz w:val="22"/>
                      <w:szCs w:val="22"/>
                      <w:lang w:val="pt-BR"/>
                    </w:rPr>
                    <w:lastRenderedPageBreak/>
                    <w:t>Capitolul IV secțiunea 1 subsecțiunea 7 din Regulamentul nr.221/2025</w:t>
                  </w:r>
                </w:p>
              </w:tc>
            </w:tr>
          </w:tbl>
          <w:p w14:paraId="4CB75A54" w14:textId="7147CF24" w:rsidR="007A1C98" w:rsidRPr="00A24080" w:rsidRDefault="007A1C98" w:rsidP="0028208B">
            <w:pPr>
              <w:ind w:right="90"/>
              <w:rPr>
                <w:b/>
                <w:bCs/>
                <w:i/>
                <w:iCs/>
                <w:sz w:val="22"/>
                <w:szCs w:val="22"/>
                <w:lang w:val="ro-RO"/>
              </w:rPr>
            </w:pPr>
          </w:p>
        </w:tc>
        <w:tc>
          <w:tcPr>
            <w:tcW w:w="1418" w:type="dxa"/>
          </w:tcPr>
          <w:p w14:paraId="31112B1F" w14:textId="1C15EC8B" w:rsidR="007A1C98"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7AB01F99" w14:textId="3293BD28" w:rsidR="007A1C98" w:rsidRPr="00A24080" w:rsidRDefault="007A1C98" w:rsidP="0028208B">
            <w:pPr>
              <w:jc w:val="both"/>
              <w:rPr>
                <w:bCs/>
                <w:sz w:val="22"/>
                <w:szCs w:val="22"/>
                <w:lang w:val="ro-RO"/>
              </w:rPr>
            </w:pPr>
          </w:p>
        </w:tc>
      </w:tr>
      <w:tr w:rsidR="007A1C98" w:rsidRPr="00A24080" w14:paraId="38AECB66"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29C6BA79" w14:textId="77777777" w:rsidTr="003146FA">
              <w:tc>
                <w:tcPr>
                  <w:tcW w:w="1056" w:type="dxa"/>
                </w:tcPr>
                <w:p w14:paraId="385F6139" w14:textId="4A85BDCA"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3861" w:type="dxa"/>
                </w:tcPr>
                <w:p w14:paraId="07CEC7DA" w14:textId="77777777" w:rsidR="007A1C98" w:rsidRPr="00A24080" w:rsidRDefault="007A1C98" w:rsidP="0028208B">
                  <w:pPr>
                    <w:framePr w:hSpace="180" w:wrap="around" w:vAnchor="text" w:hAnchor="text" w:x="-612" w:y="1"/>
                    <w:suppressAutoHyphens/>
                    <w:suppressOverlap/>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POZIȚII NETE (LUNGI ȘI SCURTE)</w:t>
                  </w:r>
                </w:p>
                <w:p w14:paraId="22D5A507" w14:textId="77777777" w:rsidR="007A1C98" w:rsidRPr="00A24080" w:rsidRDefault="007A1C98" w:rsidP="0028208B">
                  <w:pPr>
                    <w:framePr w:hSpace="180" w:wrap="around" w:vAnchor="text" w:hAnchor="text" w:x="-612" w:y="1"/>
                    <w:suppressAutoHyphens/>
                    <w:suppressOverlap/>
                    <w:rPr>
                      <w:sz w:val="22"/>
                      <w:szCs w:val="22"/>
                      <w:lang w:val="pt-BR"/>
                    </w:rPr>
                  </w:pPr>
                  <w:r w:rsidRPr="00A24080">
                    <w:rPr>
                      <w:sz w:val="22"/>
                      <w:szCs w:val="22"/>
                      <w:lang w:val="pt-BR"/>
                    </w:rPr>
                    <w:t xml:space="preserve">Articolele 327, 328, 329 și 334 din Regulamentul (UE) nr. 575/2013 </w:t>
                  </w:r>
                </w:p>
                <w:p w14:paraId="3E2197BB" w14:textId="7928C52C"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it-IT"/>
                    </w:rPr>
                    <w:t>În ceea ce privește distincția dintre pozițiile lungi și scurte, a se vedea articolul 328 alineatul (2) din Regulamentul (UE) nr. 575/2013.</w:t>
                  </w:r>
                </w:p>
              </w:tc>
            </w:tr>
          </w:tbl>
          <w:p w14:paraId="6148B6A0" w14:textId="7F74415F"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57122FA7" w14:textId="77777777" w:rsidTr="003146FA">
              <w:tc>
                <w:tcPr>
                  <w:tcW w:w="1056" w:type="dxa"/>
                </w:tcPr>
                <w:p w14:paraId="672B25C0"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3861" w:type="dxa"/>
                </w:tcPr>
                <w:p w14:paraId="7D541FDF" w14:textId="77777777" w:rsidR="007A1C98" w:rsidRPr="00A24080" w:rsidRDefault="007A1C98" w:rsidP="0028208B">
                  <w:pPr>
                    <w:framePr w:hSpace="180" w:wrap="around" w:vAnchor="text" w:hAnchor="text" w:x="-612" w:y="1"/>
                    <w:suppressAutoHyphens/>
                    <w:suppressOverlap/>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POZIȚII NETE (LUNGI ȘI SCURTE)</w:t>
                  </w:r>
                </w:p>
                <w:p w14:paraId="1F57A826" w14:textId="30C0ACC3" w:rsidR="007A1C98" w:rsidRPr="00A24080" w:rsidRDefault="00B53569" w:rsidP="0028208B">
                  <w:pPr>
                    <w:framePr w:hSpace="180" w:wrap="around" w:vAnchor="text" w:hAnchor="text" w:x="-612" w:y="1"/>
                    <w:suppressAutoHyphens/>
                    <w:suppressOverlap/>
                    <w:rPr>
                      <w:sz w:val="22"/>
                      <w:szCs w:val="22"/>
                      <w:lang w:val="it-IT"/>
                    </w:rPr>
                  </w:pPr>
                  <w:r w:rsidRPr="00A24080">
                    <w:rPr>
                      <w:sz w:val="22"/>
                      <w:szCs w:val="22"/>
                      <w:lang w:val="it-IT"/>
                    </w:rPr>
                    <w:t>Titlul II capitolul IV secțiunea 1 subsecțiunile 2-4</w:t>
                  </w:r>
                  <w:r w:rsidR="007A1C98" w:rsidRPr="00A24080">
                    <w:rPr>
                      <w:sz w:val="22"/>
                      <w:szCs w:val="22"/>
                      <w:lang w:val="it-IT"/>
                    </w:rPr>
                    <w:t xml:space="preserve">și </w:t>
                  </w:r>
                  <w:r w:rsidRPr="00A24080">
                    <w:rPr>
                      <w:sz w:val="22"/>
                      <w:szCs w:val="22"/>
                      <w:lang w:val="it-IT"/>
                    </w:rPr>
                    <w:t>secțiunea 2 din Regulamentul nr.XX/2025</w:t>
                  </w:r>
                  <w:r w:rsidR="007A1C98" w:rsidRPr="00A24080">
                    <w:rPr>
                      <w:sz w:val="22"/>
                      <w:szCs w:val="22"/>
                      <w:lang w:val="it-IT"/>
                    </w:rPr>
                    <w:t xml:space="preserve"> </w:t>
                  </w:r>
                </w:p>
                <w:p w14:paraId="00DA7048" w14:textId="6AB08862"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it-IT"/>
                    </w:rPr>
                    <w:t xml:space="preserve">În ceea ce privește distincția dintre pozițiile lungi și scurte, a se vedea </w:t>
                  </w:r>
                  <w:r w:rsidR="00660619" w:rsidRPr="00A24080">
                    <w:rPr>
                      <w:sz w:val="22"/>
                      <w:szCs w:val="22"/>
                      <w:lang w:val="it-IT"/>
                    </w:rPr>
                    <w:t>pct.422 din Regulamentul nr.XX/2026</w:t>
                  </w:r>
                  <w:r w:rsidRPr="00A24080">
                    <w:rPr>
                      <w:sz w:val="22"/>
                      <w:szCs w:val="22"/>
                      <w:lang w:val="it-IT"/>
                    </w:rPr>
                    <w:t>.</w:t>
                  </w:r>
                </w:p>
              </w:tc>
            </w:tr>
          </w:tbl>
          <w:p w14:paraId="3D92F137" w14:textId="160B871B" w:rsidR="007A1C98" w:rsidRPr="00A24080" w:rsidRDefault="007A1C98" w:rsidP="0028208B">
            <w:pPr>
              <w:ind w:right="90"/>
              <w:rPr>
                <w:sz w:val="22"/>
                <w:szCs w:val="22"/>
                <w:lang w:val="ro-RO"/>
              </w:rPr>
            </w:pPr>
          </w:p>
        </w:tc>
        <w:tc>
          <w:tcPr>
            <w:tcW w:w="1418" w:type="dxa"/>
          </w:tcPr>
          <w:p w14:paraId="493CA3B2" w14:textId="4E2A7E58" w:rsidR="007A1C98"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660BFE7" w14:textId="77777777" w:rsidR="007A1C98" w:rsidRPr="00A24080" w:rsidRDefault="007A1C98" w:rsidP="0028208B">
            <w:pPr>
              <w:jc w:val="both"/>
              <w:rPr>
                <w:bCs/>
                <w:sz w:val="22"/>
                <w:szCs w:val="22"/>
                <w:lang w:val="ro-RO"/>
              </w:rPr>
            </w:pPr>
          </w:p>
        </w:tc>
      </w:tr>
      <w:tr w:rsidR="007A1C98" w:rsidRPr="00A24080" w14:paraId="203877D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14FA50A9" w14:textId="77777777" w:rsidTr="003146FA">
              <w:tc>
                <w:tcPr>
                  <w:tcW w:w="1056" w:type="dxa"/>
                </w:tcPr>
                <w:p w14:paraId="47EC901E" w14:textId="78F50A5A"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0071-0097</w:t>
                  </w:r>
                </w:p>
              </w:tc>
              <w:tc>
                <w:tcPr>
                  <w:tcW w:w="3861" w:type="dxa"/>
                </w:tcPr>
                <w:p w14:paraId="6B9B0EDC" w14:textId="77777777" w:rsidR="007A1C98" w:rsidRPr="00A24080" w:rsidRDefault="007A1C98" w:rsidP="0028208B">
                  <w:pPr>
                    <w:framePr w:hSpace="180" w:wrap="around" w:vAnchor="text" w:hAnchor="text" w:x="-612" w:y="1"/>
                    <w:suppressAutoHyphens/>
                    <w:suppressOverlap/>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DEFALCAREA POZIȚIILOR NETE PE PONDERI DE RISC</w:t>
                  </w:r>
                </w:p>
                <w:p w14:paraId="5961B8C5" w14:textId="36960AFA"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 xml:space="preserve">Articolele 259-262, tabelele 1 și 2 de la articolul 263, tabelele 3 și 4 de la articolul 264 și articolul 266 </w:t>
                  </w:r>
                  <w:r w:rsidRPr="00A24080">
                    <w:rPr>
                      <w:sz w:val="22"/>
                      <w:szCs w:val="22"/>
                      <w:lang w:val="ro-RO"/>
                    </w:rPr>
                    <w:t>din Regulamentul (UE) nr. 575/2013</w:t>
                  </w:r>
                </w:p>
              </w:tc>
            </w:tr>
          </w:tbl>
          <w:p w14:paraId="37DB5EC9" w14:textId="79901FF0"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602EF1E2" w14:textId="77777777" w:rsidTr="003146FA">
              <w:tc>
                <w:tcPr>
                  <w:tcW w:w="1056" w:type="dxa"/>
                </w:tcPr>
                <w:p w14:paraId="0555122C"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0071-0097</w:t>
                  </w:r>
                </w:p>
              </w:tc>
              <w:tc>
                <w:tcPr>
                  <w:tcW w:w="3861" w:type="dxa"/>
                </w:tcPr>
                <w:p w14:paraId="2BA6DB62" w14:textId="77777777" w:rsidR="007A1C98" w:rsidRPr="00A24080" w:rsidRDefault="007A1C98" w:rsidP="0028208B">
                  <w:pPr>
                    <w:framePr w:hSpace="180" w:wrap="around" w:vAnchor="text" w:hAnchor="text" w:x="-612" w:y="1"/>
                    <w:suppressAutoHyphens/>
                    <w:suppressOverlap/>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DEFALCAREA POZIȚIILOR NETE PE PONDERI DE RISC</w:t>
                  </w:r>
                </w:p>
                <w:p w14:paraId="3B3AF753" w14:textId="70954A43"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ro-RO"/>
                    </w:rPr>
                    <w:t>-</w:t>
                  </w:r>
                  <w:r w:rsidR="00447A98" w:rsidRPr="00A24080">
                    <w:rPr>
                      <w:rStyle w:val="InstructionsTabelleText"/>
                      <w:rFonts w:ascii="Times New Roman" w:hAnsi="Times New Roman"/>
                      <w:sz w:val="22"/>
                      <w:szCs w:val="22"/>
                      <w:lang w:val="ro-RO"/>
                    </w:rPr>
                    <w:t>Capitolul IV secțiunea 3 subsecțiunea 1</w:t>
                  </w:r>
                  <w:r w:rsidRPr="00A24080">
                    <w:rPr>
                      <w:rStyle w:val="InstructionsTabelleText"/>
                      <w:rFonts w:ascii="Times New Roman" w:hAnsi="Times New Roman"/>
                      <w:sz w:val="22"/>
                      <w:szCs w:val="22"/>
                      <w:lang w:val="ro-RO"/>
                    </w:rPr>
                    <w:t xml:space="preserve"> tabelele 1 și 2 de la </w:t>
                  </w:r>
                  <w:r w:rsidR="00447A98" w:rsidRPr="00A24080">
                    <w:rPr>
                      <w:rStyle w:val="InstructionsTabelleText"/>
                      <w:rFonts w:ascii="Times New Roman" w:hAnsi="Times New Roman"/>
                      <w:sz w:val="22"/>
                      <w:szCs w:val="22"/>
                      <w:lang w:val="ro-RO"/>
                    </w:rPr>
                    <w:t>subsecțiunea 3</w:t>
                  </w:r>
                  <w:r w:rsidRPr="00A24080">
                    <w:rPr>
                      <w:rStyle w:val="InstructionsTabelleText"/>
                      <w:rFonts w:ascii="Times New Roman" w:hAnsi="Times New Roman"/>
                      <w:sz w:val="22"/>
                      <w:szCs w:val="22"/>
                      <w:lang w:val="ro-RO"/>
                    </w:rPr>
                    <w:t xml:space="preserve">, tabelele 3 și 4 de la </w:t>
                  </w:r>
                  <w:r w:rsidR="00447A98" w:rsidRPr="00A24080">
                    <w:rPr>
                      <w:rStyle w:val="InstructionsTabelleText"/>
                      <w:rFonts w:ascii="Times New Roman" w:hAnsi="Times New Roman"/>
                      <w:sz w:val="22"/>
                      <w:szCs w:val="22"/>
                      <w:lang w:val="ro-RO"/>
                    </w:rPr>
                    <w:t xml:space="preserve">subsecțiunea 4 </w:t>
                  </w:r>
                  <w:r w:rsidR="006A4167" w:rsidRPr="00A24080">
                    <w:rPr>
                      <w:sz w:val="22"/>
                      <w:szCs w:val="22"/>
                      <w:lang w:val="ro-RO"/>
                    </w:rPr>
                    <w:t>, prevederi aferente  c</w:t>
                  </w:r>
                  <w:r w:rsidR="006A4167" w:rsidRPr="00A24080">
                    <w:rPr>
                      <w:sz w:val="22"/>
                      <w:szCs w:val="22"/>
                      <w:lang w:val="ro-MD"/>
                    </w:rPr>
                    <w:t>alculului cuantumurilor ponderate la risc ale expunerilor conform abordării SEC-IRBA</w:t>
                  </w:r>
                  <w:r w:rsidR="006A4167" w:rsidRPr="00A24080">
                    <w:rPr>
                      <w:b/>
                      <w:bCs/>
                      <w:sz w:val="22"/>
                      <w:szCs w:val="22"/>
                      <w:lang w:val="ro-MD"/>
                    </w:rPr>
                    <w:t xml:space="preserve"> </w:t>
                  </w:r>
                  <w:r w:rsidR="006A4167" w:rsidRPr="00A24080">
                    <w:rPr>
                      <w:sz w:val="22"/>
                      <w:szCs w:val="22"/>
                      <w:lang w:val="ro-RO"/>
                    </w:rPr>
                    <w:t>și</w:t>
                  </w:r>
                  <w:r w:rsidR="006A4167" w:rsidRPr="00A24080">
                    <w:rPr>
                      <w:sz w:val="22"/>
                      <w:szCs w:val="22"/>
                      <w:lang w:val="ro-MD"/>
                    </w:rPr>
                    <w:t xml:space="preserve"> calculului cuantumurilor ponderate la risc ale expunerilor conform abordării bazate pe evaluări interne</w:t>
                  </w:r>
                  <w:r w:rsidR="006A4167" w:rsidRPr="00A24080">
                    <w:rPr>
                      <w:sz w:val="22"/>
                      <w:szCs w:val="22"/>
                      <w:lang w:val="ro-RO"/>
                    </w:rPr>
                    <w:t xml:space="preserve"> </w:t>
                  </w:r>
                  <w:r w:rsidRPr="00A24080">
                    <w:rPr>
                      <w:sz w:val="22"/>
                      <w:szCs w:val="22"/>
                      <w:lang w:val="ro-RO"/>
                    </w:rPr>
                    <w:t xml:space="preserve">din Regulamentul </w:t>
                  </w:r>
                  <w:r w:rsidR="00447A98" w:rsidRPr="00A24080">
                    <w:rPr>
                      <w:sz w:val="22"/>
                      <w:szCs w:val="22"/>
                      <w:lang w:val="ro-RO"/>
                    </w:rPr>
                    <w:t>nr.221/2025</w:t>
                  </w:r>
                </w:p>
              </w:tc>
            </w:tr>
          </w:tbl>
          <w:p w14:paraId="75D02586" w14:textId="77777777" w:rsidR="007A1C98" w:rsidRPr="00A24080" w:rsidRDefault="007A1C98" w:rsidP="0028208B">
            <w:pPr>
              <w:ind w:right="90"/>
              <w:rPr>
                <w:sz w:val="22"/>
                <w:szCs w:val="22"/>
                <w:lang w:val="ro-RO"/>
              </w:rPr>
            </w:pPr>
          </w:p>
        </w:tc>
        <w:tc>
          <w:tcPr>
            <w:tcW w:w="1418" w:type="dxa"/>
          </w:tcPr>
          <w:p w14:paraId="4D3C8415" w14:textId="30163264" w:rsidR="007A1C98" w:rsidRPr="00A24080" w:rsidRDefault="0002227D"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5A403F4" w14:textId="77777777" w:rsidR="007A1C98" w:rsidRPr="00A24080" w:rsidRDefault="007A1C98" w:rsidP="0028208B">
            <w:pPr>
              <w:jc w:val="both"/>
              <w:rPr>
                <w:bCs/>
                <w:sz w:val="22"/>
                <w:szCs w:val="22"/>
                <w:lang w:val="ro-RO"/>
              </w:rPr>
            </w:pPr>
          </w:p>
        </w:tc>
      </w:tr>
      <w:tr w:rsidR="007A1C98" w:rsidRPr="00A24080" w14:paraId="5E2EEEC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1C8724F7" w14:textId="77777777" w:rsidTr="003146FA">
              <w:tc>
                <w:tcPr>
                  <w:tcW w:w="1056" w:type="dxa"/>
                </w:tcPr>
                <w:p w14:paraId="61F516DE" w14:textId="3774BBC2"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0402-0406</w:t>
                  </w:r>
                </w:p>
              </w:tc>
              <w:tc>
                <w:tcPr>
                  <w:tcW w:w="3861" w:type="dxa"/>
                </w:tcPr>
                <w:p w14:paraId="1453D1A7"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DEFALCAREA POZIȚIILOR NETE PE ABORDĂRI</w:t>
                  </w:r>
                </w:p>
                <w:p w14:paraId="127B3AB0" w14:textId="6E9EB4C7"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Articolul 254 </w:t>
                  </w:r>
                  <w:r w:rsidRPr="00A24080">
                    <w:rPr>
                      <w:sz w:val="22"/>
                      <w:szCs w:val="22"/>
                    </w:rPr>
                    <w:t>din Regulamentul (UE) nr. 575/2013</w:t>
                  </w:r>
                  <w:r w:rsidRPr="00A24080">
                    <w:rPr>
                      <w:rStyle w:val="InstructionsTabelleText"/>
                      <w:rFonts w:ascii="Times New Roman" w:hAnsi="Times New Roman"/>
                      <w:sz w:val="22"/>
                      <w:szCs w:val="22"/>
                    </w:rPr>
                    <w:t xml:space="preserve"> </w:t>
                  </w:r>
                </w:p>
              </w:tc>
            </w:tr>
          </w:tbl>
          <w:p w14:paraId="71D47118" w14:textId="35DCE05A"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66430CF8" w14:textId="77777777" w:rsidTr="003146FA">
              <w:tc>
                <w:tcPr>
                  <w:tcW w:w="1056" w:type="dxa"/>
                </w:tcPr>
                <w:p w14:paraId="040256ED"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0402-0406</w:t>
                  </w:r>
                </w:p>
              </w:tc>
              <w:tc>
                <w:tcPr>
                  <w:tcW w:w="3861" w:type="dxa"/>
                </w:tcPr>
                <w:p w14:paraId="68CD842F"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DEFALCAREA POZIȚIILOR NETE PE ABORDĂRI</w:t>
                  </w:r>
                </w:p>
                <w:p w14:paraId="2F54E0DB" w14:textId="38E637B4" w:rsidR="007A1C98" w:rsidRPr="00A24080" w:rsidRDefault="001070EE" w:rsidP="0028208B">
                  <w:pPr>
                    <w:framePr w:hSpace="180" w:wrap="around" w:vAnchor="text" w:hAnchor="text" w:x="-612" w:y="1"/>
                    <w:ind w:right="90"/>
                    <w:suppressOverlap/>
                    <w:jc w:val="both"/>
                    <w:rPr>
                      <w:sz w:val="22"/>
                      <w:szCs w:val="22"/>
                      <w:lang w:val="ro-RO"/>
                    </w:rPr>
                  </w:pPr>
                  <w:r w:rsidRPr="00A24080">
                    <w:rPr>
                      <w:sz w:val="22"/>
                      <w:szCs w:val="22"/>
                      <w:lang w:val="ro-RO"/>
                    </w:rPr>
                    <w:t>Capitolul IV secțiunea 2 subsecțiunea 1</w:t>
                  </w:r>
                  <w:r w:rsidRPr="00A24080">
                    <w:rPr>
                      <w:sz w:val="22"/>
                      <w:szCs w:val="22"/>
                    </w:rPr>
                    <w:t xml:space="preserve"> </w:t>
                  </w:r>
                  <w:r w:rsidRPr="00A24080">
                    <w:rPr>
                      <w:sz w:val="22"/>
                      <w:szCs w:val="22"/>
                      <w:lang w:val="ro-RO"/>
                    </w:rPr>
                    <w:t>din Regulamentul nr.221/2025</w:t>
                  </w:r>
                </w:p>
              </w:tc>
            </w:tr>
          </w:tbl>
          <w:p w14:paraId="7E038912" w14:textId="7597A4C6" w:rsidR="007A1C98" w:rsidRPr="00A24080" w:rsidRDefault="007A1C98" w:rsidP="0028208B">
            <w:pPr>
              <w:ind w:right="90"/>
              <w:rPr>
                <w:sz w:val="22"/>
                <w:szCs w:val="22"/>
                <w:lang w:val="ro-RO"/>
              </w:rPr>
            </w:pPr>
          </w:p>
        </w:tc>
        <w:tc>
          <w:tcPr>
            <w:tcW w:w="1418" w:type="dxa"/>
          </w:tcPr>
          <w:p w14:paraId="68AE7258" w14:textId="1FBFC250" w:rsidR="007A1C98"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7658F16" w14:textId="77777777" w:rsidR="007A1C98" w:rsidRPr="00A24080" w:rsidRDefault="007A1C98" w:rsidP="0028208B">
            <w:pPr>
              <w:jc w:val="both"/>
              <w:rPr>
                <w:bCs/>
                <w:sz w:val="22"/>
                <w:szCs w:val="22"/>
                <w:lang w:val="ro-RO"/>
              </w:rPr>
            </w:pPr>
          </w:p>
        </w:tc>
      </w:tr>
      <w:tr w:rsidR="007A1C98" w:rsidRPr="00A24080" w14:paraId="1CAA901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349FE574" w14:textId="77777777" w:rsidTr="003146FA">
              <w:tc>
                <w:tcPr>
                  <w:tcW w:w="1056" w:type="dxa"/>
                </w:tcPr>
                <w:p w14:paraId="07A1E5F6" w14:textId="10BD01C6"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0402</w:t>
                  </w:r>
                </w:p>
              </w:tc>
              <w:tc>
                <w:tcPr>
                  <w:tcW w:w="3861" w:type="dxa"/>
                </w:tcPr>
                <w:p w14:paraId="3DF9B2F7"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lang w:val="pt-BR"/>
                    </w:rPr>
                  </w:pPr>
                  <w:r w:rsidRPr="00A24080">
                    <w:rPr>
                      <w:b/>
                      <w:sz w:val="22"/>
                      <w:szCs w:val="22"/>
                      <w:u w:val="single"/>
                      <w:lang w:val="pt-BR"/>
                    </w:rPr>
                    <w:t>SEC-IRBA</w:t>
                  </w:r>
                </w:p>
                <w:p w14:paraId="68FFB3C1" w14:textId="2F5383C0"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lang w:val="pt-BR"/>
                    </w:rPr>
                    <w:t xml:space="preserve">Articolele 259 și 260 </w:t>
                  </w:r>
                  <w:r w:rsidRPr="00A24080">
                    <w:rPr>
                      <w:sz w:val="22"/>
                      <w:szCs w:val="22"/>
                      <w:lang w:val="pt-BR"/>
                    </w:rPr>
                    <w:t>din Regulamentul (UE) nr. 575/2013</w:t>
                  </w:r>
                </w:p>
              </w:tc>
            </w:tr>
          </w:tbl>
          <w:p w14:paraId="72DFBFAE" w14:textId="018DFE43"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519851B8" w14:textId="77777777" w:rsidTr="003146FA">
              <w:tc>
                <w:tcPr>
                  <w:tcW w:w="1056" w:type="dxa"/>
                </w:tcPr>
                <w:p w14:paraId="35557703"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0402</w:t>
                  </w:r>
                </w:p>
              </w:tc>
              <w:tc>
                <w:tcPr>
                  <w:tcW w:w="3861" w:type="dxa"/>
                </w:tcPr>
                <w:p w14:paraId="2AC37DAA"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lang w:val="ro-RO"/>
                    </w:rPr>
                  </w:pPr>
                  <w:r w:rsidRPr="00A24080">
                    <w:rPr>
                      <w:b/>
                      <w:sz w:val="22"/>
                      <w:szCs w:val="22"/>
                      <w:u w:val="single"/>
                      <w:lang w:val="ro-RO"/>
                    </w:rPr>
                    <w:t>SEC-IRBA</w:t>
                  </w:r>
                </w:p>
                <w:p w14:paraId="28B8B8DA" w14:textId="0CF3CDDA" w:rsidR="007A1C98" w:rsidRPr="00A24080" w:rsidRDefault="006A4167" w:rsidP="0028208B">
                  <w:pPr>
                    <w:framePr w:hSpace="180" w:wrap="around" w:vAnchor="text" w:hAnchor="text" w:x="-612" w:y="1"/>
                    <w:ind w:right="90"/>
                    <w:suppressOverlap/>
                    <w:jc w:val="both"/>
                    <w:rPr>
                      <w:sz w:val="22"/>
                      <w:szCs w:val="22"/>
                      <w:lang w:val="ro-RO"/>
                    </w:rPr>
                  </w:pPr>
                  <w:r w:rsidRPr="00A24080">
                    <w:rPr>
                      <w:rFonts w:eastAsiaTheme="minorHAnsi" w:cstheme="minorBidi"/>
                      <w:kern w:val="2"/>
                      <w:sz w:val="22"/>
                      <w:szCs w:val="22"/>
                      <w:lang w:val="ro-RO" w:eastAsia="en-US"/>
                    </w:rPr>
                    <w:t xml:space="preserve"> </w:t>
                  </w:r>
                  <w:r w:rsidRPr="00A24080">
                    <w:rPr>
                      <w:sz w:val="22"/>
                      <w:szCs w:val="22"/>
                      <w:lang w:val="ro-RO"/>
                    </w:rPr>
                    <w:t>Prevederi aferente  c</w:t>
                  </w:r>
                  <w:r w:rsidRPr="00A24080">
                    <w:rPr>
                      <w:sz w:val="22"/>
                      <w:szCs w:val="22"/>
                      <w:lang w:val="ro-MD"/>
                    </w:rPr>
                    <w:t>alculului cuantumurilor ponderate la risc ale expunerilor conform abordării SEC-IRBA și tratamentului securitizărilor STS conform abordării SEC-IRBA din Regulamentul nr.221/2025</w:t>
                  </w:r>
                </w:p>
              </w:tc>
            </w:tr>
          </w:tbl>
          <w:p w14:paraId="0CC96E79" w14:textId="77777777" w:rsidR="007A1C98" w:rsidRPr="00A24080" w:rsidRDefault="007A1C98" w:rsidP="0028208B">
            <w:pPr>
              <w:ind w:right="90"/>
              <w:rPr>
                <w:sz w:val="22"/>
                <w:szCs w:val="22"/>
                <w:lang w:val="ro-RO"/>
              </w:rPr>
            </w:pPr>
          </w:p>
        </w:tc>
        <w:tc>
          <w:tcPr>
            <w:tcW w:w="1418" w:type="dxa"/>
          </w:tcPr>
          <w:p w14:paraId="269FDFF7" w14:textId="4739491D" w:rsidR="007A1C98" w:rsidRPr="00A24080" w:rsidRDefault="006A4167"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E5FCF8F" w14:textId="77777777" w:rsidR="007A1C98" w:rsidRPr="00A24080" w:rsidRDefault="007A1C98" w:rsidP="0028208B">
            <w:pPr>
              <w:jc w:val="both"/>
              <w:rPr>
                <w:bCs/>
                <w:sz w:val="22"/>
                <w:szCs w:val="22"/>
                <w:lang w:val="ro-RO"/>
              </w:rPr>
            </w:pPr>
          </w:p>
        </w:tc>
      </w:tr>
      <w:tr w:rsidR="007A1C98" w:rsidRPr="00A24080" w14:paraId="72BA491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49014EAC" w14:textId="77777777" w:rsidTr="003146FA">
              <w:tc>
                <w:tcPr>
                  <w:tcW w:w="1056" w:type="dxa"/>
                </w:tcPr>
                <w:p w14:paraId="75327405" w14:textId="1C7DECD8"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0403</w:t>
                  </w:r>
                </w:p>
              </w:tc>
              <w:tc>
                <w:tcPr>
                  <w:tcW w:w="3861" w:type="dxa"/>
                </w:tcPr>
                <w:p w14:paraId="25F3EB52"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SEC-SA</w:t>
                  </w:r>
                </w:p>
                <w:p w14:paraId="2B99DEB3" w14:textId="199772E5"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lastRenderedPageBreak/>
                    <w:t xml:space="preserve">Articolele 261 și 262 </w:t>
                  </w:r>
                  <w:r w:rsidRPr="00A24080">
                    <w:rPr>
                      <w:sz w:val="22"/>
                      <w:szCs w:val="22"/>
                    </w:rPr>
                    <w:t>din Regulamentul (UE) nr. 575/2013</w:t>
                  </w:r>
                </w:p>
              </w:tc>
            </w:tr>
          </w:tbl>
          <w:p w14:paraId="3FC14EFA" w14:textId="6A8F81ED"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1FE7D968" w14:textId="77777777" w:rsidTr="003146FA">
              <w:tc>
                <w:tcPr>
                  <w:tcW w:w="1056" w:type="dxa"/>
                </w:tcPr>
                <w:p w14:paraId="5B83E778"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lastRenderedPageBreak/>
                    <w:t>0403</w:t>
                  </w:r>
                </w:p>
              </w:tc>
              <w:tc>
                <w:tcPr>
                  <w:tcW w:w="3861" w:type="dxa"/>
                </w:tcPr>
                <w:p w14:paraId="6E53C873"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lang w:val="it-IT"/>
                    </w:rPr>
                  </w:pPr>
                  <w:r w:rsidRPr="00A24080">
                    <w:rPr>
                      <w:b/>
                      <w:sz w:val="22"/>
                      <w:szCs w:val="22"/>
                      <w:u w:val="single"/>
                      <w:lang w:val="it-IT"/>
                    </w:rPr>
                    <w:t>SEC-SA</w:t>
                  </w:r>
                </w:p>
                <w:p w14:paraId="1F3DC629" w14:textId="54B3A3A3" w:rsidR="007A1C98" w:rsidRPr="00A24080" w:rsidRDefault="00447A98" w:rsidP="0028208B">
                  <w:pPr>
                    <w:framePr w:hSpace="180" w:wrap="around" w:vAnchor="text" w:hAnchor="text" w:x="-612" w:y="1"/>
                    <w:ind w:right="90"/>
                    <w:suppressOverlap/>
                    <w:jc w:val="both"/>
                    <w:rPr>
                      <w:sz w:val="22"/>
                      <w:szCs w:val="22"/>
                      <w:lang w:val="it-IT"/>
                    </w:rPr>
                  </w:pPr>
                  <w:r w:rsidRPr="00A24080">
                    <w:rPr>
                      <w:sz w:val="22"/>
                      <w:szCs w:val="22"/>
                      <w:lang w:val="ro-RO"/>
                    </w:rPr>
                    <w:lastRenderedPageBreak/>
                    <w:t>Capitolul IV secțiunea 3 subsecțiunea 1 și 2 din Regulamentul nr.221/2025</w:t>
                  </w:r>
                </w:p>
              </w:tc>
            </w:tr>
          </w:tbl>
          <w:p w14:paraId="75FFB3FE" w14:textId="5EFEAAA0" w:rsidR="007A1C98" w:rsidRPr="00A24080" w:rsidRDefault="007A1C98" w:rsidP="0028208B">
            <w:pPr>
              <w:ind w:right="90"/>
              <w:rPr>
                <w:sz w:val="22"/>
                <w:szCs w:val="22"/>
                <w:lang w:val="ro-RO"/>
              </w:rPr>
            </w:pPr>
          </w:p>
        </w:tc>
        <w:tc>
          <w:tcPr>
            <w:tcW w:w="1418" w:type="dxa"/>
          </w:tcPr>
          <w:p w14:paraId="6DA91C0B" w14:textId="1B25B761" w:rsidR="007A1C98"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0BA5CD1B" w14:textId="77777777" w:rsidR="007A1C98" w:rsidRPr="00A24080" w:rsidRDefault="007A1C98" w:rsidP="0028208B">
            <w:pPr>
              <w:jc w:val="both"/>
              <w:rPr>
                <w:bCs/>
                <w:sz w:val="22"/>
                <w:szCs w:val="22"/>
                <w:lang w:val="ro-RO"/>
              </w:rPr>
            </w:pPr>
          </w:p>
        </w:tc>
      </w:tr>
      <w:tr w:rsidR="007A1C98" w:rsidRPr="00A24080" w14:paraId="18E12CD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4839BE95" w14:textId="77777777" w:rsidTr="003146FA">
              <w:tc>
                <w:tcPr>
                  <w:tcW w:w="1056" w:type="dxa"/>
                </w:tcPr>
                <w:p w14:paraId="5233E790" w14:textId="4CBA48E5"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0404</w:t>
                  </w:r>
                </w:p>
              </w:tc>
              <w:tc>
                <w:tcPr>
                  <w:tcW w:w="3861" w:type="dxa"/>
                </w:tcPr>
                <w:p w14:paraId="218B4578"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SEC-ERBA</w:t>
                  </w:r>
                </w:p>
                <w:p w14:paraId="2C47594E" w14:textId="76F4E2FC"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Articolele 263 și 264 </w:t>
                  </w:r>
                  <w:r w:rsidRPr="00A24080">
                    <w:rPr>
                      <w:sz w:val="22"/>
                      <w:szCs w:val="22"/>
                    </w:rPr>
                    <w:t>din Regulamentul (UE) nr. 575/2013</w:t>
                  </w:r>
                </w:p>
              </w:tc>
            </w:tr>
          </w:tbl>
          <w:p w14:paraId="6E0F41EC" w14:textId="51B6E816"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64532AFB" w14:textId="77777777" w:rsidTr="003146FA">
              <w:tc>
                <w:tcPr>
                  <w:tcW w:w="1056" w:type="dxa"/>
                </w:tcPr>
                <w:p w14:paraId="1C8C1B56"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0404</w:t>
                  </w:r>
                </w:p>
              </w:tc>
              <w:tc>
                <w:tcPr>
                  <w:tcW w:w="3861" w:type="dxa"/>
                </w:tcPr>
                <w:p w14:paraId="460180B1" w14:textId="77777777" w:rsidR="007A1C98" w:rsidRPr="00A24080" w:rsidRDefault="007A1C98" w:rsidP="0028208B">
                  <w:pPr>
                    <w:framePr w:hSpace="180" w:wrap="around" w:vAnchor="text" w:hAnchor="text" w:x="-612" w:y="1"/>
                    <w:suppressAutoHyphens/>
                    <w:autoSpaceDE w:val="0"/>
                    <w:autoSpaceDN w:val="0"/>
                    <w:adjustRightInd w:val="0"/>
                    <w:suppressOverlap/>
                    <w:rPr>
                      <w:b/>
                      <w:bCs/>
                      <w:sz w:val="22"/>
                      <w:szCs w:val="22"/>
                      <w:u w:val="single"/>
                      <w:lang w:val="it-IT"/>
                    </w:rPr>
                  </w:pPr>
                  <w:r w:rsidRPr="00A24080">
                    <w:rPr>
                      <w:b/>
                      <w:sz w:val="22"/>
                      <w:szCs w:val="22"/>
                      <w:u w:val="single"/>
                      <w:lang w:val="it-IT"/>
                    </w:rPr>
                    <w:t>SEC-ERBA</w:t>
                  </w:r>
                </w:p>
                <w:p w14:paraId="42B2E6F5" w14:textId="3E1578AE" w:rsidR="007A1C98" w:rsidRPr="00A24080" w:rsidRDefault="00447A98" w:rsidP="0028208B">
                  <w:pPr>
                    <w:framePr w:hSpace="180" w:wrap="around" w:vAnchor="text" w:hAnchor="text" w:x="-612" w:y="1"/>
                    <w:ind w:right="90"/>
                    <w:suppressOverlap/>
                    <w:jc w:val="both"/>
                    <w:rPr>
                      <w:sz w:val="22"/>
                      <w:szCs w:val="22"/>
                      <w:lang w:val="it-IT"/>
                    </w:rPr>
                  </w:pPr>
                  <w:r w:rsidRPr="00A24080">
                    <w:rPr>
                      <w:sz w:val="22"/>
                      <w:szCs w:val="22"/>
                      <w:lang w:val="ro-RO"/>
                    </w:rPr>
                    <w:t>Capitolul IV secțiunea 3 subsecțiunea 3 și 4 din Regulamentul nr.221/2025</w:t>
                  </w:r>
                </w:p>
              </w:tc>
            </w:tr>
          </w:tbl>
          <w:p w14:paraId="5A60F8EA" w14:textId="77777777" w:rsidR="007A1C98" w:rsidRPr="00A24080" w:rsidRDefault="007A1C98" w:rsidP="0028208B">
            <w:pPr>
              <w:ind w:right="90"/>
              <w:rPr>
                <w:sz w:val="22"/>
                <w:szCs w:val="22"/>
                <w:lang w:val="ro-RO"/>
              </w:rPr>
            </w:pPr>
          </w:p>
        </w:tc>
        <w:tc>
          <w:tcPr>
            <w:tcW w:w="1418" w:type="dxa"/>
          </w:tcPr>
          <w:p w14:paraId="5539FE5A" w14:textId="1ADC6B07" w:rsidR="007A1C98"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CDF9844" w14:textId="77777777" w:rsidR="007A1C98" w:rsidRPr="00A24080" w:rsidRDefault="007A1C98" w:rsidP="0028208B">
            <w:pPr>
              <w:jc w:val="both"/>
              <w:rPr>
                <w:bCs/>
                <w:sz w:val="22"/>
                <w:szCs w:val="22"/>
                <w:lang w:val="ro-RO"/>
              </w:rPr>
            </w:pPr>
          </w:p>
        </w:tc>
      </w:tr>
      <w:tr w:rsidR="007A1C98" w:rsidRPr="00A24080" w14:paraId="327A900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69147746" w14:textId="77777777" w:rsidTr="003146FA">
              <w:tc>
                <w:tcPr>
                  <w:tcW w:w="1056" w:type="dxa"/>
                </w:tcPr>
                <w:p w14:paraId="6A512B46" w14:textId="6DDFFF58"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0405</w:t>
                  </w:r>
                </w:p>
              </w:tc>
              <w:tc>
                <w:tcPr>
                  <w:tcW w:w="3861" w:type="dxa"/>
                </w:tcPr>
                <w:p w14:paraId="4553CD8D" w14:textId="77777777" w:rsidR="007A1C98" w:rsidRPr="00A24080" w:rsidRDefault="007A1C98"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ABORDAREA BAZATĂ PE EVALUĂRI INTERNE</w:t>
                  </w:r>
                </w:p>
                <w:p w14:paraId="46F611C4" w14:textId="3B017A5B"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Articolele 254 și 265 și articolul 266 alineatul (5) </w:t>
                  </w:r>
                  <w:r w:rsidRPr="00A24080">
                    <w:rPr>
                      <w:sz w:val="22"/>
                      <w:szCs w:val="22"/>
                    </w:rPr>
                    <w:t>din Regulamentul (UE) nr. 575/2013</w:t>
                  </w:r>
                  <w:r w:rsidRPr="00A24080">
                    <w:rPr>
                      <w:rStyle w:val="InstructionsTabelleText"/>
                      <w:rFonts w:ascii="Times New Roman" w:hAnsi="Times New Roman"/>
                      <w:sz w:val="22"/>
                      <w:szCs w:val="22"/>
                    </w:rPr>
                    <w:t>.</w:t>
                  </w:r>
                </w:p>
              </w:tc>
            </w:tr>
          </w:tbl>
          <w:p w14:paraId="5466D8E5" w14:textId="7777777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7B14F61D" w14:textId="77777777" w:rsidTr="003146FA">
              <w:tc>
                <w:tcPr>
                  <w:tcW w:w="1056" w:type="dxa"/>
                </w:tcPr>
                <w:p w14:paraId="2105A3E8"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0405</w:t>
                  </w:r>
                </w:p>
              </w:tc>
              <w:tc>
                <w:tcPr>
                  <w:tcW w:w="3861" w:type="dxa"/>
                </w:tcPr>
                <w:p w14:paraId="706DCC47" w14:textId="77777777" w:rsidR="007A1C98" w:rsidRPr="00A24080" w:rsidRDefault="007A1C98"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ABORDAREA BAZATĂ PE EVALUĂRI INTERNE</w:t>
                  </w:r>
                </w:p>
                <w:p w14:paraId="3F42A732" w14:textId="3E268823" w:rsidR="007A1C98" w:rsidRPr="00A24080" w:rsidRDefault="00917DF7" w:rsidP="0028208B">
                  <w:pPr>
                    <w:framePr w:hSpace="180" w:wrap="around" w:vAnchor="text" w:hAnchor="text" w:x="-612" w:y="1"/>
                    <w:ind w:right="90"/>
                    <w:suppressOverlap/>
                    <w:jc w:val="both"/>
                    <w:rPr>
                      <w:sz w:val="22"/>
                      <w:szCs w:val="22"/>
                      <w:lang w:val="ro-RO"/>
                    </w:rPr>
                  </w:pPr>
                  <w:r w:rsidRPr="00A24080">
                    <w:rPr>
                      <w:sz w:val="22"/>
                      <w:szCs w:val="22"/>
                      <w:lang w:val="ro-RO"/>
                    </w:rPr>
                    <w:t>Capitolul IV secțiunea 2 subsecțiunea 1</w:t>
                  </w:r>
                  <w:r w:rsidR="00E8325F" w:rsidRPr="00A24080">
                    <w:rPr>
                      <w:rStyle w:val="InstructionsTabelleText"/>
                      <w:rFonts w:ascii="Times New Roman" w:hAnsi="Times New Roman"/>
                      <w:sz w:val="22"/>
                      <w:szCs w:val="22"/>
                      <w:lang w:val="ro-RO"/>
                    </w:rPr>
                    <w:t>,</w:t>
                  </w:r>
                  <w:r w:rsidR="00E8325F" w:rsidRPr="00A24080">
                    <w:rPr>
                      <w:rFonts w:eastAsiaTheme="minorHAnsi" w:cstheme="minorBidi"/>
                      <w:kern w:val="2"/>
                      <w:sz w:val="22"/>
                      <w:szCs w:val="22"/>
                      <w:lang w:val="ro-MD" w:eastAsia="en-US"/>
                    </w:rPr>
                    <w:t xml:space="preserve"> </w:t>
                  </w:r>
                  <w:r w:rsidR="00E8325F" w:rsidRPr="00A24080">
                    <w:rPr>
                      <w:sz w:val="22"/>
                      <w:szCs w:val="22"/>
                      <w:lang w:val="ro-MD"/>
                    </w:rPr>
                    <w:t>prevederi aferente sferei de aplicare și cerințele operaționale aferente abordării bazate pe evaluări interne și calculului cuantumurilor ponderate la risc ale expunerilor conform abordării bazate pe evaluări interne din Regulamentul nr.221/2025</w:t>
                  </w:r>
                </w:p>
              </w:tc>
            </w:tr>
          </w:tbl>
          <w:p w14:paraId="089BAAE7" w14:textId="77777777" w:rsidR="007A1C98" w:rsidRPr="00A24080" w:rsidRDefault="007A1C98" w:rsidP="0028208B">
            <w:pPr>
              <w:ind w:right="90"/>
              <w:rPr>
                <w:sz w:val="22"/>
                <w:szCs w:val="22"/>
                <w:lang w:val="ro-RO"/>
              </w:rPr>
            </w:pPr>
          </w:p>
        </w:tc>
        <w:tc>
          <w:tcPr>
            <w:tcW w:w="1418" w:type="dxa"/>
          </w:tcPr>
          <w:p w14:paraId="56F80DFF" w14:textId="01D6108D" w:rsidR="007A1C98" w:rsidRPr="00A24080" w:rsidRDefault="00E8325F"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53DE4AE" w14:textId="77777777" w:rsidR="007A1C98" w:rsidRPr="00A24080" w:rsidRDefault="007A1C98" w:rsidP="0028208B">
            <w:pPr>
              <w:jc w:val="both"/>
              <w:rPr>
                <w:bCs/>
                <w:sz w:val="22"/>
                <w:szCs w:val="22"/>
                <w:lang w:val="ro-RO"/>
              </w:rPr>
            </w:pPr>
          </w:p>
        </w:tc>
      </w:tr>
      <w:tr w:rsidR="007A1C98" w:rsidRPr="00A24080" w14:paraId="1578F11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68ECE073" w14:textId="77777777" w:rsidTr="003146FA">
              <w:tc>
                <w:tcPr>
                  <w:tcW w:w="1056" w:type="dxa"/>
                </w:tcPr>
                <w:p w14:paraId="5130A7EC" w14:textId="100B5D86"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0900</w:t>
                  </w:r>
                </w:p>
              </w:tc>
              <w:tc>
                <w:tcPr>
                  <w:tcW w:w="3861" w:type="dxa"/>
                </w:tcPr>
                <w:p w14:paraId="1F0F89BD" w14:textId="77777777" w:rsidR="007A1C98" w:rsidRPr="00A24080" w:rsidRDefault="007A1C98" w:rsidP="0028208B">
                  <w:pPr>
                    <w:framePr w:hSpace="180" w:wrap="around" w:vAnchor="text" w:hAnchor="text" w:x="-612" w:y="1"/>
                    <w:suppressAutoHyphens/>
                    <w:suppressOverlap/>
                    <w:jc w:val="both"/>
                    <w:rPr>
                      <w:b/>
                      <w:sz w:val="22"/>
                      <w:szCs w:val="22"/>
                      <w:u w:val="single"/>
                    </w:rPr>
                  </w:pPr>
                  <w:r w:rsidRPr="00A24080">
                    <w:rPr>
                      <w:b/>
                      <w:sz w:val="22"/>
                      <w:szCs w:val="22"/>
                      <w:u w:val="single"/>
                    </w:rPr>
                    <w:t>TRATAMENT SPECIFIC PENTRU TRANȘELE DE RANG SUPERIOR DIN SECURITIZĂRILE DE NPE ELIGIBILE</w:t>
                  </w:r>
                </w:p>
                <w:p w14:paraId="52A6ED5D" w14:textId="3223EA02"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 xml:space="preserve">Articolul </w:t>
                  </w:r>
                  <w:r w:rsidRPr="00A24080">
                    <w:rPr>
                      <w:rStyle w:val="InstructionsTabelleText"/>
                      <w:rFonts w:ascii="Times New Roman" w:hAnsi="Times New Roman"/>
                      <w:sz w:val="22"/>
                      <w:szCs w:val="22"/>
                    </w:rPr>
                    <w:t>269a</w:t>
                  </w:r>
                  <w:r w:rsidRPr="00A24080">
                    <w:rPr>
                      <w:sz w:val="22"/>
                      <w:szCs w:val="22"/>
                    </w:rPr>
                    <w:t xml:space="preserve"> alineatul (3) din Regulamentul (UE) nr. 575/2013</w:t>
                  </w:r>
                </w:p>
              </w:tc>
            </w:tr>
          </w:tbl>
          <w:p w14:paraId="4D5D4D3A" w14:textId="7777777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71D029B2" w14:textId="77777777" w:rsidTr="003146FA">
              <w:tc>
                <w:tcPr>
                  <w:tcW w:w="1056" w:type="dxa"/>
                </w:tcPr>
                <w:p w14:paraId="6E32A547"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0900</w:t>
                  </w:r>
                </w:p>
              </w:tc>
              <w:tc>
                <w:tcPr>
                  <w:tcW w:w="3861" w:type="dxa"/>
                </w:tcPr>
                <w:p w14:paraId="27FB809E" w14:textId="77777777" w:rsidR="007A1C98" w:rsidRPr="00A24080" w:rsidRDefault="007A1C98" w:rsidP="0028208B">
                  <w:pPr>
                    <w:framePr w:hSpace="180" w:wrap="around" w:vAnchor="text" w:hAnchor="text" w:x="-612" w:y="1"/>
                    <w:suppressAutoHyphens/>
                    <w:suppressOverlap/>
                    <w:jc w:val="both"/>
                    <w:rPr>
                      <w:b/>
                      <w:sz w:val="22"/>
                      <w:szCs w:val="22"/>
                      <w:u w:val="single"/>
                    </w:rPr>
                  </w:pPr>
                  <w:r w:rsidRPr="00A24080">
                    <w:rPr>
                      <w:b/>
                      <w:sz w:val="22"/>
                      <w:szCs w:val="22"/>
                      <w:u w:val="single"/>
                    </w:rPr>
                    <w:t>TRATAMENT SPECIFIC PENTRU TRANȘELE DE RANG SUPERIOR DIN SECURITIZĂRILE DE NPE ELIGIBILE</w:t>
                  </w:r>
                </w:p>
                <w:p w14:paraId="7681EF8F" w14:textId="2DB36E5C" w:rsidR="007A1C98" w:rsidRPr="00A24080" w:rsidRDefault="00E635A0" w:rsidP="0028208B">
                  <w:pPr>
                    <w:framePr w:hSpace="180" w:wrap="around" w:vAnchor="text" w:hAnchor="text" w:x="-612" w:y="1"/>
                    <w:ind w:right="90"/>
                    <w:suppressOverlap/>
                    <w:jc w:val="both"/>
                    <w:rPr>
                      <w:sz w:val="22"/>
                      <w:szCs w:val="22"/>
                      <w:lang w:val="ro-RO"/>
                    </w:rPr>
                  </w:pPr>
                  <w:r w:rsidRPr="00A24080">
                    <w:rPr>
                      <w:sz w:val="22"/>
                      <w:szCs w:val="22"/>
                      <w:lang w:val="ro-RO"/>
                    </w:rPr>
                    <w:t>Pct.88 din Regulamentul nr.221/2025</w:t>
                  </w:r>
                </w:p>
              </w:tc>
            </w:tr>
          </w:tbl>
          <w:p w14:paraId="0F688D81" w14:textId="77777777" w:rsidR="007A1C98" w:rsidRPr="00A24080" w:rsidRDefault="007A1C98" w:rsidP="0028208B">
            <w:pPr>
              <w:ind w:right="90"/>
              <w:rPr>
                <w:sz w:val="22"/>
                <w:szCs w:val="22"/>
                <w:lang w:val="ro-RO"/>
              </w:rPr>
            </w:pPr>
          </w:p>
        </w:tc>
        <w:tc>
          <w:tcPr>
            <w:tcW w:w="1418" w:type="dxa"/>
          </w:tcPr>
          <w:p w14:paraId="390942C3" w14:textId="0087FFE0" w:rsidR="007A1C98"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35315D2" w14:textId="77777777" w:rsidR="007A1C98" w:rsidRPr="00A24080" w:rsidRDefault="007A1C98" w:rsidP="0028208B">
            <w:pPr>
              <w:jc w:val="both"/>
              <w:rPr>
                <w:bCs/>
                <w:sz w:val="22"/>
                <w:szCs w:val="22"/>
                <w:lang w:val="ro-RO"/>
              </w:rPr>
            </w:pPr>
          </w:p>
        </w:tc>
      </w:tr>
      <w:tr w:rsidR="007A1C98" w:rsidRPr="00A24080" w14:paraId="568512F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5E1592D8" w14:textId="77777777" w:rsidTr="003146FA">
              <w:tc>
                <w:tcPr>
                  <w:tcW w:w="1056" w:type="dxa"/>
                </w:tcPr>
                <w:p w14:paraId="626B898C" w14:textId="53C1C37F"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0406</w:t>
                  </w:r>
                </w:p>
              </w:tc>
              <w:tc>
                <w:tcPr>
                  <w:tcW w:w="3861" w:type="dxa"/>
                </w:tcPr>
                <w:p w14:paraId="4B75D380" w14:textId="77777777" w:rsidR="007A1C98" w:rsidRPr="00A24080" w:rsidRDefault="007A1C98"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ALTELE (RW = 1 250</w:t>
                  </w:r>
                  <w:r w:rsidRPr="00A24080">
                    <w:rPr>
                      <w:sz w:val="22"/>
                      <w:szCs w:val="22"/>
                    </w:rPr>
                    <w:t xml:space="preserve"> </w:t>
                  </w:r>
                  <w:r w:rsidRPr="00A24080">
                    <w:rPr>
                      <w:b/>
                      <w:sz w:val="22"/>
                      <w:szCs w:val="22"/>
                      <w:u w:val="single"/>
                    </w:rPr>
                    <w:t>%)</w:t>
                  </w:r>
                </w:p>
                <w:p w14:paraId="52889DAB" w14:textId="023FB2B7" w:rsidR="007A1C98" w:rsidRPr="00A24080" w:rsidRDefault="007A1C98" w:rsidP="0028208B">
                  <w:pPr>
                    <w:framePr w:hSpace="180" w:wrap="around" w:vAnchor="text" w:hAnchor="text" w:x="-612" w:y="1"/>
                    <w:ind w:right="90"/>
                    <w:suppressOverlap/>
                    <w:jc w:val="both"/>
                    <w:rPr>
                      <w:sz w:val="22"/>
                      <w:szCs w:val="22"/>
                      <w:lang w:val="ro-RO"/>
                    </w:rPr>
                  </w:pPr>
                  <w:r w:rsidRPr="00A24080">
                    <w:rPr>
                      <w:rStyle w:val="InstructionsTabelleText"/>
                      <w:rFonts w:ascii="Times New Roman" w:hAnsi="Times New Roman"/>
                      <w:sz w:val="22"/>
                      <w:szCs w:val="22"/>
                    </w:rPr>
                    <w:t xml:space="preserve">Articolul 254 alineatul (7) </w:t>
                  </w:r>
                  <w:r w:rsidRPr="00A24080">
                    <w:rPr>
                      <w:sz w:val="22"/>
                      <w:szCs w:val="22"/>
                    </w:rPr>
                    <w:t>din Regulamentul (UE) nr. 575/2013</w:t>
                  </w:r>
                </w:p>
              </w:tc>
            </w:tr>
          </w:tbl>
          <w:p w14:paraId="0F863816" w14:textId="7777777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A24080" w14:paraId="1027E87E" w14:textId="77777777" w:rsidTr="003146FA">
              <w:tc>
                <w:tcPr>
                  <w:tcW w:w="1056" w:type="dxa"/>
                </w:tcPr>
                <w:p w14:paraId="59DC8F78"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0406</w:t>
                  </w:r>
                </w:p>
              </w:tc>
              <w:tc>
                <w:tcPr>
                  <w:tcW w:w="3861" w:type="dxa"/>
                </w:tcPr>
                <w:p w14:paraId="7D78C788" w14:textId="77777777" w:rsidR="007A1C98" w:rsidRPr="00A24080" w:rsidRDefault="007A1C98"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ALTELE (RW = 1 250</w:t>
                  </w:r>
                  <w:r w:rsidRPr="00A24080">
                    <w:rPr>
                      <w:sz w:val="22"/>
                      <w:szCs w:val="22"/>
                    </w:rPr>
                    <w:t xml:space="preserve"> </w:t>
                  </w:r>
                  <w:r w:rsidRPr="00A24080">
                    <w:rPr>
                      <w:b/>
                      <w:sz w:val="22"/>
                      <w:szCs w:val="22"/>
                      <w:u w:val="single"/>
                    </w:rPr>
                    <w:t>%)</w:t>
                  </w:r>
                </w:p>
                <w:p w14:paraId="1D8B9D8D" w14:textId="4F70062A" w:rsidR="007A1C98" w:rsidRPr="00A24080" w:rsidRDefault="001070EE" w:rsidP="0028208B">
                  <w:pPr>
                    <w:framePr w:hSpace="180" w:wrap="around" w:vAnchor="text" w:hAnchor="text" w:x="-612" w:y="1"/>
                    <w:ind w:right="90"/>
                    <w:suppressOverlap/>
                    <w:jc w:val="both"/>
                    <w:rPr>
                      <w:sz w:val="22"/>
                      <w:szCs w:val="22"/>
                      <w:lang w:val="ro-RO"/>
                    </w:rPr>
                  </w:pPr>
                  <w:r w:rsidRPr="00A24080">
                    <w:rPr>
                      <w:sz w:val="22"/>
                      <w:szCs w:val="22"/>
                      <w:lang w:val="ro-RO"/>
                    </w:rPr>
                    <w:t>Pct.49 din Regulamentul nr.221/2025</w:t>
                  </w:r>
                </w:p>
              </w:tc>
            </w:tr>
          </w:tbl>
          <w:p w14:paraId="2B22524D" w14:textId="77777777" w:rsidR="007A1C98" w:rsidRPr="00A24080" w:rsidRDefault="007A1C98" w:rsidP="0028208B">
            <w:pPr>
              <w:ind w:right="90"/>
              <w:rPr>
                <w:sz w:val="22"/>
                <w:szCs w:val="22"/>
                <w:lang w:val="ro-RO"/>
              </w:rPr>
            </w:pPr>
          </w:p>
        </w:tc>
        <w:tc>
          <w:tcPr>
            <w:tcW w:w="1418" w:type="dxa"/>
          </w:tcPr>
          <w:p w14:paraId="5EBC1130" w14:textId="3C7F7120" w:rsidR="007A1C98"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FEC47A2" w14:textId="77777777" w:rsidR="007A1C98" w:rsidRPr="00A24080" w:rsidRDefault="007A1C98" w:rsidP="0028208B">
            <w:pPr>
              <w:jc w:val="both"/>
              <w:rPr>
                <w:bCs/>
                <w:sz w:val="22"/>
                <w:szCs w:val="22"/>
                <w:lang w:val="ro-RO"/>
              </w:rPr>
            </w:pPr>
          </w:p>
        </w:tc>
      </w:tr>
      <w:tr w:rsidR="007A1C98" w:rsidRPr="00A24080" w14:paraId="5C419DCF"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2EDD6578" w14:textId="77777777" w:rsidTr="003146FA">
              <w:tc>
                <w:tcPr>
                  <w:tcW w:w="1056" w:type="dxa"/>
                </w:tcPr>
                <w:p w14:paraId="7CAF4D9E" w14:textId="35FDA441"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0410-0420</w:t>
                  </w:r>
                </w:p>
              </w:tc>
              <w:tc>
                <w:tcPr>
                  <w:tcW w:w="3861" w:type="dxa"/>
                </w:tcPr>
                <w:p w14:paraId="5E932E00" w14:textId="77777777" w:rsidR="007A1C98" w:rsidRPr="00A24080" w:rsidRDefault="007A1C98"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ÎNAINTE DE APLICAREA PLAFONULUI – POZIȚII NETE PONDERATE LUNGI/SCURTE</w:t>
                  </w:r>
                </w:p>
                <w:p w14:paraId="6C41AED7" w14:textId="4F588E6A"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ro-RO"/>
                    </w:rPr>
                    <w:t xml:space="preserve">Articolul 338 din Regulamentul (UE) nr. 575/2013, fără a ține seama de marja de apreciere prevăzută la articolul 335 din regulamentul respectiv </w:t>
                  </w:r>
                </w:p>
              </w:tc>
            </w:tr>
          </w:tbl>
          <w:p w14:paraId="6EC2CE14" w14:textId="7777777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6D6C77F8" w14:textId="77777777" w:rsidTr="003146FA">
              <w:tc>
                <w:tcPr>
                  <w:tcW w:w="1056" w:type="dxa"/>
                </w:tcPr>
                <w:p w14:paraId="660EDB13"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0410-0420</w:t>
                  </w:r>
                </w:p>
              </w:tc>
              <w:tc>
                <w:tcPr>
                  <w:tcW w:w="3861" w:type="dxa"/>
                </w:tcPr>
                <w:p w14:paraId="62F755AC" w14:textId="77777777" w:rsidR="007A1C98" w:rsidRPr="00A24080" w:rsidRDefault="007A1C98"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ÎNAINTE DE APLICAREA PLAFONULUI – POZIȚII NETE PONDERATE LUNGI/SCURTE</w:t>
                  </w:r>
                </w:p>
                <w:p w14:paraId="459E854B" w14:textId="7E4E9EBD" w:rsidR="007A1C98" w:rsidRPr="00A24080" w:rsidRDefault="00F17C87" w:rsidP="0028208B">
                  <w:pPr>
                    <w:framePr w:hSpace="180" w:wrap="around" w:vAnchor="text" w:hAnchor="text" w:x="-612" w:y="1"/>
                    <w:ind w:right="90"/>
                    <w:suppressOverlap/>
                    <w:jc w:val="both"/>
                    <w:rPr>
                      <w:sz w:val="22"/>
                      <w:szCs w:val="22"/>
                      <w:lang w:val="ro-RO"/>
                    </w:rPr>
                  </w:pPr>
                  <w:r w:rsidRPr="00A24080">
                    <w:rPr>
                      <w:sz w:val="22"/>
                      <w:szCs w:val="22"/>
                      <w:lang w:val="ro-RO"/>
                    </w:rPr>
                    <w:t>Titlul II capitolul IV secțiunea 2</w:t>
                  </w:r>
                  <w:r w:rsidR="003C3B2A" w:rsidRPr="00A24080">
                    <w:rPr>
                      <w:sz w:val="22"/>
                      <w:szCs w:val="22"/>
                      <w:lang w:val="ro-RO"/>
                    </w:rPr>
                    <w:t xml:space="preserve"> subsecțiunea 1 paragraful 4</w:t>
                  </w:r>
                  <w:r w:rsidR="007A1C98" w:rsidRPr="00A24080">
                    <w:rPr>
                      <w:sz w:val="22"/>
                      <w:szCs w:val="22"/>
                      <w:lang w:val="ro-RO"/>
                    </w:rPr>
                    <w:t xml:space="preserve">, fără a ține seama de marja de apreciere prevăzută la </w:t>
                  </w:r>
                  <w:r w:rsidR="009064E0" w:rsidRPr="00A24080">
                    <w:rPr>
                      <w:sz w:val="22"/>
                      <w:szCs w:val="22"/>
                      <w:lang w:val="ro-RO"/>
                    </w:rPr>
                    <w:t xml:space="preserve">pct.435 </w:t>
                  </w:r>
                  <w:r w:rsidR="007A1C98" w:rsidRPr="00A24080">
                    <w:rPr>
                      <w:sz w:val="22"/>
                      <w:szCs w:val="22"/>
                      <w:lang w:val="ro-RO"/>
                    </w:rPr>
                    <w:t xml:space="preserve">din regulamentul respectiv </w:t>
                  </w:r>
                </w:p>
              </w:tc>
            </w:tr>
          </w:tbl>
          <w:p w14:paraId="4268DA43" w14:textId="77777777" w:rsidR="007A1C98" w:rsidRPr="00A24080" w:rsidRDefault="007A1C98" w:rsidP="0028208B">
            <w:pPr>
              <w:ind w:right="90"/>
              <w:rPr>
                <w:sz w:val="22"/>
                <w:szCs w:val="22"/>
                <w:lang w:val="ro-RO"/>
              </w:rPr>
            </w:pPr>
          </w:p>
        </w:tc>
        <w:tc>
          <w:tcPr>
            <w:tcW w:w="1418" w:type="dxa"/>
          </w:tcPr>
          <w:p w14:paraId="4B8A2610" w14:textId="4C49C751" w:rsidR="007A1C98"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DE318F8" w14:textId="77777777" w:rsidR="007A1C98" w:rsidRPr="00A24080" w:rsidRDefault="007A1C98" w:rsidP="0028208B">
            <w:pPr>
              <w:jc w:val="both"/>
              <w:rPr>
                <w:bCs/>
                <w:sz w:val="22"/>
                <w:szCs w:val="22"/>
                <w:lang w:val="ro-RO"/>
              </w:rPr>
            </w:pPr>
          </w:p>
        </w:tc>
      </w:tr>
      <w:tr w:rsidR="007A1C98" w:rsidRPr="00A24080" w14:paraId="302AE94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46E48D1B" w14:textId="77777777" w:rsidTr="003146FA">
              <w:tc>
                <w:tcPr>
                  <w:tcW w:w="1056" w:type="dxa"/>
                </w:tcPr>
                <w:p w14:paraId="7E8A6DB4" w14:textId="311DDD36"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t>0430-0440</w:t>
                  </w:r>
                </w:p>
              </w:tc>
              <w:tc>
                <w:tcPr>
                  <w:tcW w:w="3861" w:type="dxa"/>
                </w:tcPr>
                <w:p w14:paraId="61BC3F66" w14:textId="77777777" w:rsidR="007A1C98" w:rsidRPr="00A24080" w:rsidRDefault="007A1C98"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DUPĂ APLICAREA PLAFONULUI – POZIȚII NETE PONDERATE LUNGI/SCURTE</w:t>
                  </w:r>
                </w:p>
                <w:p w14:paraId="1F9F8CAD" w14:textId="0DD923A5"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lang w:val="pt-BR"/>
                    </w:rPr>
                    <w:lastRenderedPageBreak/>
                    <w:t xml:space="preserve">Articolul 338 din Regulamentul (UE) nr. 575/2013, ținând seama de marja de apreciere prevăzută la articolul 335 din regulamentul respectiv </w:t>
                  </w:r>
                </w:p>
              </w:tc>
            </w:tr>
          </w:tbl>
          <w:p w14:paraId="471764E1" w14:textId="77777777" w:rsidR="007A1C98" w:rsidRPr="00A24080" w:rsidRDefault="007A1C98"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7A1C98" w:rsidRPr="00EE7DB0" w14:paraId="0B38308B" w14:textId="77777777" w:rsidTr="003146FA">
              <w:tc>
                <w:tcPr>
                  <w:tcW w:w="1056" w:type="dxa"/>
                </w:tcPr>
                <w:p w14:paraId="75434A3E" w14:textId="77777777" w:rsidR="007A1C98" w:rsidRPr="00A24080" w:rsidRDefault="007A1C98" w:rsidP="0028208B">
                  <w:pPr>
                    <w:framePr w:hSpace="180" w:wrap="around" w:vAnchor="text" w:hAnchor="text" w:x="-612" w:y="1"/>
                    <w:ind w:right="90"/>
                    <w:suppressOverlap/>
                    <w:jc w:val="both"/>
                    <w:rPr>
                      <w:sz w:val="22"/>
                      <w:szCs w:val="22"/>
                      <w:lang w:val="ro-RO"/>
                    </w:rPr>
                  </w:pPr>
                  <w:r w:rsidRPr="00A24080">
                    <w:rPr>
                      <w:sz w:val="22"/>
                      <w:szCs w:val="22"/>
                    </w:rPr>
                    <w:lastRenderedPageBreak/>
                    <w:t>0430-0440</w:t>
                  </w:r>
                </w:p>
              </w:tc>
              <w:tc>
                <w:tcPr>
                  <w:tcW w:w="3861" w:type="dxa"/>
                </w:tcPr>
                <w:p w14:paraId="3184351E" w14:textId="77777777" w:rsidR="007A1C98" w:rsidRPr="00A24080" w:rsidRDefault="007A1C98" w:rsidP="0028208B">
                  <w:pPr>
                    <w:framePr w:hSpace="180" w:wrap="around" w:vAnchor="text" w:hAnchor="text" w:x="-612" w:y="1"/>
                    <w:suppressAutoHyphens/>
                    <w:suppressOverlap/>
                    <w:jc w:val="both"/>
                    <w:rPr>
                      <w:rStyle w:val="InstructionsTabelleberschrift"/>
                      <w:rFonts w:ascii="Times New Roman" w:hAnsi="Times New Roman"/>
                      <w:sz w:val="22"/>
                      <w:szCs w:val="22"/>
                      <w:lang w:val="it-IT"/>
                    </w:rPr>
                  </w:pPr>
                  <w:r w:rsidRPr="00A24080">
                    <w:rPr>
                      <w:rStyle w:val="InstructionsTabelleberschrift"/>
                      <w:rFonts w:ascii="Times New Roman" w:hAnsi="Times New Roman"/>
                      <w:sz w:val="22"/>
                      <w:szCs w:val="22"/>
                      <w:lang w:val="it-IT"/>
                    </w:rPr>
                    <w:t>DUPĂ APLICAREA PLAFONULUI – POZIȚII NETE PONDERATE LUNGI/SCURTE</w:t>
                  </w:r>
                </w:p>
                <w:p w14:paraId="37F69ED5" w14:textId="303BF062" w:rsidR="007A1C98" w:rsidRPr="00A24080" w:rsidRDefault="003C3B2A"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Titlul II capitolul IV secțiunea 2 subsecțiunea 1 paragraful 4 din Regulamentul nr.XX/2026</w:t>
                  </w:r>
                  <w:r w:rsidR="007A1C98" w:rsidRPr="00A24080">
                    <w:rPr>
                      <w:sz w:val="22"/>
                      <w:szCs w:val="22"/>
                      <w:lang w:val="it-IT"/>
                    </w:rPr>
                    <w:t xml:space="preserve">, ținând seama de marja de apreciere prevăzută la </w:t>
                  </w:r>
                  <w:r w:rsidR="009064E0" w:rsidRPr="00A24080">
                    <w:rPr>
                      <w:sz w:val="22"/>
                      <w:szCs w:val="22"/>
                      <w:lang w:val="it-IT"/>
                    </w:rPr>
                    <w:t xml:space="preserve">pct.435 </w:t>
                  </w:r>
                  <w:r w:rsidR="007A1C98" w:rsidRPr="00A24080">
                    <w:rPr>
                      <w:sz w:val="22"/>
                      <w:szCs w:val="22"/>
                      <w:lang w:val="it-IT"/>
                    </w:rPr>
                    <w:t xml:space="preserve">din regulamentul respectiv </w:t>
                  </w:r>
                </w:p>
              </w:tc>
            </w:tr>
          </w:tbl>
          <w:p w14:paraId="6785D47E" w14:textId="77777777" w:rsidR="007A1C98" w:rsidRPr="00A24080" w:rsidRDefault="007A1C98" w:rsidP="0028208B">
            <w:pPr>
              <w:ind w:right="90"/>
              <w:rPr>
                <w:sz w:val="22"/>
                <w:szCs w:val="22"/>
                <w:lang w:val="ro-RO"/>
              </w:rPr>
            </w:pPr>
          </w:p>
        </w:tc>
        <w:tc>
          <w:tcPr>
            <w:tcW w:w="1418" w:type="dxa"/>
          </w:tcPr>
          <w:p w14:paraId="1435CDED" w14:textId="7277A357" w:rsidR="007A1C98"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6F29C301" w14:textId="77777777" w:rsidR="007A1C98" w:rsidRPr="00A24080" w:rsidRDefault="007A1C98" w:rsidP="0028208B">
            <w:pPr>
              <w:jc w:val="both"/>
              <w:rPr>
                <w:bCs/>
                <w:sz w:val="22"/>
                <w:szCs w:val="22"/>
                <w:lang w:val="ro-RO"/>
              </w:rPr>
            </w:pPr>
          </w:p>
        </w:tc>
      </w:tr>
      <w:tr w:rsidR="00CB34E2" w:rsidRPr="00A24080" w14:paraId="34DEB4F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B34E2" w:rsidRPr="00A24080" w14:paraId="4EF2AE6D" w14:textId="77777777" w:rsidTr="007A1C98">
              <w:tc>
                <w:tcPr>
                  <w:tcW w:w="4917" w:type="dxa"/>
                  <w:gridSpan w:val="2"/>
                  <w:shd w:val="clear" w:color="auto" w:fill="D0CECE" w:themeFill="background2" w:themeFillShade="E6"/>
                </w:tcPr>
                <w:p w14:paraId="08B2D06E" w14:textId="07D5D1B0" w:rsidR="00CB34E2" w:rsidRPr="00A24080" w:rsidRDefault="00CB34E2" w:rsidP="0028208B">
                  <w:pPr>
                    <w:framePr w:hSpace="180" w:wrap="around" w:vAnchor="text" w:hAnchor="text" w:x="-612" w:y="1"/>
                    <w:ind w:right="90"/>
                    <w:suppressOverlap/>
                    <w:jc w:val="both"/>
                    <w:rPr>
                      <w:sz w:val="22"/>
                      <w:szCs w:val="22"/>
                    </w:rPr>
                  </w:pPr>
                  <w:r w:rsidRPr="00A24080">
                    <w:rPr>
                      <w:b/>
                      <w:sz w:val="22"/>
                      <w:szCs w:val="22"/>
                      <w:lang w:val="ro-RO" w:eastAsia="en-US"/>
                      <w14:ligatures w14:val="none"/>
                    </w:rPr>
                    <w:t>Rânduri</w:t>
                  </w:r>
                </w:p>
              </w:tc>
            </w:tr>
            <w:tr w:rsidR="00CB34E2" w:rsidRPr="00A24080" w14:paraId="231F5AC3" w14:textId="77777777" w:rsidTr="007A1C98">
              <w:tc>
                <w:tcPr>
                  <w:tcW w:w="1056" w:type="dxa"/>
                </w:tcPr>
                <w:p w14:paraId="4F1A7AB7" w14:textId="7BD7187F" w:rsidR="00CB34E2" w:rsidRPr="00A24080" w:rsidRDefault="00CB34E2" w:rsidP="0028208B">
                  <w:pPr>
                    <w:framePr w:hSpace="180" w:wrap="around" w:vAnchor="text" w:hAnchor="text" w:x="-612" w:y="1"/>
                    <w:ind w:right="90"/>
                    <w:suppressOverlap/>
                    <w:jc w:val="both"/>
                    <w:rPr>
                      <w:sz w:val="22"/>
                      <w:szCs w:val="22"/>
                    </w:rPr>
                  </w:pPr>
                  <w:r w:rsidRPr="00A24080">
                    <w:rPr>
                      <w:sz w:val="22"/>
                      <w:szCs w:val="22"/>
                    </w:rPr>
                    <w:t>0010</w:t>
                  </w:r>
                </w:p>
              </w:tc>
              <w:tc>
                <w:tcPr>
                  <w:tcW w:w="3861" w:type="dxa"/>
                </w:tcPr>
                <w:p w14:paraId="05D3C80F"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rPr>
                  </w:pPr>
                  <w:r w:rsidRPr="00A24080">
                    <w:rPr>
                      <w:rStyle w:val="InstructionsTabelleberschrift"/>
                      <w:rFonts w:ascii="Times New Roman" w:hAnsi="Times New Roman"/>
                      <w:sz w:val="22"/>
                      <w:szCs w:val="22"/>
                    </w:rPr>
                    <w:t>EXPUNERI TOTALE</w:t>
                  </w:r>
                </w:p>
                <w:p w14:paraId="45E2A6A1" w14:textId="28AEAE1C" w:rsidR="00CB34E2" w:rsidRPr="00A24080" w:rsidRDefault="00CB34E2" w:rsidP="0028208B">
                  <w:pPr>
                    <w:framePr w:hSpace="180" w:wrap="around" w:vAnchor="text" w:hAnchor="text" w:x="-612" w:y="1"/>
                    <w:ind w:right="90"/>
                    <w:suppressOverlap/>
                    <w:jc w:val="both"/>
                    <w:rPr>
                      <w:sz w:val="22"/>
                      <w:szCs w:val="22"/>
                    </w:rPr>
                  </w:pPr>
                  <w:r w:rsidRPr="00A24080">
                    <w:rPr>
                      <w:sz w:val="22"/>
                      <w:szCs w:val="22"/>
                    </w:rPr>
                    <w:t>Cuantumul total al pozițiilor în sold (deținute în portofoliul de tranzacționare pe bază de corelație) raportat de către instituția care îndeplinește rolul/rolurile de inițiator, investitor sau sponsor.</w:t>
                  </w:r>
                </w:p>
              </w:tc>
            </w:tr>
          </w:tbl>
          <w:p w14:paraId="2C85A635" w14:textId="77777777" w:rsidR="00CB34E2" w:rsidRPr="00A24080" w:rsidRDefault="00CB34E2" w:rsidP="0028208B">
            <w:pPr>
              <w:ind w:right="90"/>
              <w:jc w:val="both"/>
              <w:rPr>
                <w:sz w:val="22"/>
                <w:szCs w:val="22"/>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B34E2" w:rsidRPr="00A24080" w14:paraId="4DF490C9" w14:textId="77777777" w:rsidTr="003146FA">
              <w:tc>
                <w:tcPr>
                  <w:tcW w:w="4917" w:type="dxa"/>
                  <w:gridSpan w:val="2"/>
                  <w:shd w:val="clear" w:color="auto" w:fill="D0CECE" w:themeFill="background2" w:themeFillShade="E6"/>
                </w:tcPr>
                <w:p w14:paraId="64E8B1A9" w14:textId="77777777" w:rsidR="00CB34E2" w:rsidRPr="00A24080" w:rsidRDefault="00CB34E2" w:rsidP="0028208B">
                  <w:pPr>
                    <w:framePr w:hSpace="180" w:wrap="around" w:vAnchor="text" w:hAnchor="text" w:x="-612" w:y="1"/>
                    <w:ind w:right="90"/>
                    <w:suppressOverlap/>
                    <w:jc w:val="both"/>
                    <w:rPr>
                      <w:sz w:val="22"/>
                      <w:szCs w:val="22"/>
                    </w:rPr>
                  </w:pPr>
                  <w:r w:rsidRPr="00A24080">
                    <w:rPr>
                      <w:b/>
                      <w:sz w:val="22"/>
                      <w:szCs w:val="22"/>
                      <w:lang w:val="ro-RO" w:eastAsia="en-US"/>
                      <w14:ligatures w14:val="none"/>
                    </w:rPr>
                    <w:t>Rânduri</w:t>
                  </w:r>
                </w:p>
              </w:tc>
            </w:tr>
            <w:tr w:rsidR="00CB34E2" w:rsidRPr="00A24080" w14:paraId="72B777BF" w14:textId="77777777" w:rsidTr="003146FA">
              <w:tc>
                <w:tcPr>
                  <w:tcW w:w="1056" w:type="dxa"/>
                </w:tcPr>
                <w:p w14:paraId="3A635A8B" w14:textId="77777777" w:rsidR="00CB34E2" w:rsidRPr="00A24080" w:rsidRDefault="00CB34E2" w:rsidP="0028208B">
                  <w:pPr>
                    <w:framePr w:hSpace="180" w:wrap="around" w:vAnchor="text" w:hAnchor="text" w:x="-612" w:y="1"/>
                    <w:ind w:right="90"/>
                    <w:suppressOverlap/>
                    <w:jc w:val="both"/>
                    <w:rPr>
                      <w:sz w:val="22"/>
                      <w:szCs w:val="22"/>
                    </w:rPr>
                  </w:pPr>
                  <w:r w:rsidRPr="00A24080">
                    <w:rPr>
                      <w:sz w:val="22"/>
                      <w:szCs w:val="22"/>
                    </w:rPr>
                    <w:t>0010</w:t>
                  </w:r>
                </w:p>
              </w:tc>
              <w:tc>
                <w:tcPr>
                  <w:tcW w:w="3861" w:type="dxa"/>
                </w:tcPr>
                <w:p w14:paraId="10955313"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rPr>
                  </w:pPr>
                  <w:r w:rsidRPr="00A24080">
                    <w:rPr>
                      <w:rStyle w:val="InstructionsTabelleberschrift"/>
                      <w:rFonts w:ascii="Times New Roman" w:hAnsi="Times New Roman"/>
                      <w:sz w:val="22"/>
                      <w:szCs w:val="22"/>
                    </w:rPr>
                    <w:t>EXPUNERI TOTALE</w:t>
                  </w:r>
                </w:p>
                <w:p w14:paraId="4BA0CBCE" w14:textId="0681AD62" w:rsidR="00CB34E2" w:rsidRPr="00A24080" w:rsidRDefault="00CB34E2" w:rsidP="0028208B">
                  <w:pPr>
                    <w:framePr w:hSpace="180" w:wrap="around" w:vAnchor="text" w:hAnchor="text" w:x="-612" w:y="1"/>
                    <w:ind w:right="90"/>
                    <w:suppressOverlap/>
                    <w:jc w:val="both"/>
                    <w:rPr>
                      <w:sz w:val="22"/>
                      <w:szCs w:val="22"/>
                    </w:rPr>
                  </w:pPr>
                  <w:r w:rsidRPr="00A24080">
                    <w:rPr>
                      <w:sz w:val="22"/>
                      <w:szCs w:val="22"/>
                    </w:rPr>
                    <w:t xml:space="preserve">Cuantumul total al pozițiilor în sold (deținute în portofoliul de tranzacționare pe bază de corelație) raportat de către </w:t>
                  </w:r>
                  <w:r w:rsidR="002E1738" w:rsidRPr="00A24080">
                    <w:rPr>
                      <w:sz w:val="22"/>
                      <w:szCs w:val="22"/>
                      <w:lang w:val="ro-RO"/>
                    </w:rPr>
                    <w:t>banca</w:t>
                  </w:r>
                  <w:r w:rsidR="002E1738" w:rsidRPr="00A24080">
                    <w:rPr>
                      <w:sz w:val="22"/>
                      <w:szCs w:val="22"/>
                    </w:rPr>
                    <w:t xml:space="preserve"> </w:t>
                  </w:r>
                  <w:r w:rsidRPr="00A24080">
                    <w:rPr>
                      <w:sz w:val="22"/>
                      <w:szCs w:val="22"/>
                    </w:rPr>
                    <w:t>care îndeplinește rolul/rolurile de inițiator, investitor sau sponsor.</w:t>
                  </w:r>
                </w:p>
              </w:tc>
            </w:tr>
          </w:tbl>
          <w:p w14:paraId="1E460BC2" w14:textId="77777777" w:rsidR="00CB34E2" w:rsidRPr="00A24080" w:rsidRDefault="00CB34E2" w:rsidP="0028208B">
            <w:pPr>
              <w:ind w:right="90"/>
              <w:jc w:val="both"/>
              <w:rPr>
                <w:sz w:val="22"/>
                <w:szCs w:val="22"/>
              </w:rPr>
            </w:pPr>
          </w:p>
        </w:tc>
        <w:tc>
          <w:tcPr>
            <w:tcW w:w="1418" w:type="dxa"/>
          </w:tcPr>
          <w:p w14:paraId="003DD66A" w14:textId="67E5B301" w:rsidR="00CB34E2"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F57582E" w14:textId="77777777" w:rsidR="00CB34E2" w:rsidRPr="00A24080" w:rsidRDefault="00CB34E2" w:rsidP="0028208B">
            <w:pPr>
              <w:jc w:val="both"/>
              <w:rPr>
                <w:bCs/>
                <w:sz w:val="22"/>
                <w:szCs w:val="22"/>
                <w:lang w:val="ro-RO"/>
              </w:rPr>
            </w:pPr>
          </w:p>
        </w:tc>
      </w:tr>
      <w:tr w:rsidR="00CB34E2" w:rsidRPr="00A24080" w14:paraId="152147F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B34E2" w:rsidRPr="00A24080" w14:paraId="78F3AEA3" w14:textId="77777777" w:rsidTr="003146FA">
              <w:tc>
                <w:tcPr>
                  <w:tcW w:w="1056" w:type="dxa"/>
                </w:tcPr>
                <w:p w14:paraId="490630DB" w14:textId="7F2748D4"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0020-0040</w:t>
                  </w:r>
                </w:p>
              </w:tc>
              <w:tc>
                <w:tcPr>
                  <w:tcW w:w="3861" w:type="dxa"/>
                </w:tcPr>
                <w:p w14:paraId="2121EBDF"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rPr>
                  </w:pPr>
                  <w:r w:rsidRPr="00A24080">
                    <w:rPr>
                      <w:rStyle w:val="InstructionsTabelleberschrift"/>
                      <w:rFonts w:ascii="Times New Roman" w:hAnsi="Times New Roman"/>
                      <w:sz w:val="22"/>
                      <w:szCs w:val="22"/>
                    </w:rPr>
                    <w:t>INIȚIATOR</w:t>
                  </w:r>
                </w:p>
                <w:p w14:paraId="0D8D188E" w14:textId="2D62916B"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 xml:space="preserve">Articolul 4 alineatul (1) punctul 13 din Regulamentul (UE) nr. 575/2013 </w:t>
                  </w:r>
                </w:p>
              </w:tc>
            </w:tr>
          </w:tbl>
          <w:p w14:paraId="69393060" w14:textId="77777777" w:rsidR="00CB34E2" w:rsidRPr="00A24080" w:rsidRDefault="00CB34E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B34E2" w:rsidRPr="00A24080" w14:paraId="124ADF59" w14:textId="77777777" w:rsidTr="003146FA">
              <w:tc>
                <w:tcPr>
                  <w:tcW w:w="1056" w:type="dxa"/>
                </w:tcPr>
                <w:p w14:paraId="0379D965"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0020-0040</w:t>
                  </w:r>
                </w:p>
              </w:tc>
              <w:tc>
                <w:tcPr>
                  <w:tcW w:w="3861" w:type="dxa"/>
                </w:tcPr>
                <w:p w14:paraId="7495A6AB"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rPr>
                  </w:pPr>
                  <w:r w:rsidRPr="00A24080">
                    <w:rPr>
                      <w:rStyle w:val="InstructionsTabelleberschrift"/>
                      <w:rFonts w:ascii="Times New Roman" w:hAnsi="Times New Roman"/>
                      <w:sz w:val="22"/>
                      <w:szCs w:val="22"/>
                    </w:rPr>
                    <w:t>INIȚIATOR</w:t>
                  </w:r>
                </w:p>
                <w:p w14:paraId="2C27EA0E" w14:textId="37E52A8B" w:rsidR="00CB34E2" w:rsidRPr="00A24080" w:rsidRDefault="00917DF7" w:rsidP="0028208B">
                  <w:pPr>
                    <w:framePr w:hSpace="180" w:wrap="around" w:vAnchor="text" w:hAnchor="text" w:x="-612" w:y="1"/>
                    <w:ind w:right="90"/>
                    <w:suppressOverlap/>
                    <w:jc w:val="both"/>
                    <w:rPr>
                      <w:sz w:val="22"/>
                      <w:szCs w:val="22"/>
                      <w:lang w:val="ro-RO"/>
                    </w:rPr>
                  </w:pPr>
                  <w:r w:rsidRPr="00A24080">
                    <w:rPr>
                      <w:sz w:val="22"/>
                      <w:szCs w:val="22"/>
                      <w:lang w:val="ro-RO"/>
                    </w:rPr>
                    <w:t>Subpct.3.7 din Regulamentul nr.221/2025</w:t>
                  </w:r>
                </w:p>
              </w:tc>
            </w:tr>
          </w:tbl>
          <w:p w14:paraId="5201D1F4" w14:textId="77777777" w:rsidR="00CB34E2" w:rsidRPr="00A24080" w:rsidRDefault="00CB34E2" w:rsidP="0028208B">
            <w:pPr>
              <w:ind w:right="90"/>
              <w:rPr>
                <w:sz w:val="22"/>
                <w:szCs w:val="22"/>
                <w:lang w:val="ro-RO"/>
              </w:rPr>
            </w:pPr>
          </w:p>
        </w:tc>
        <w:tc>
          <w:tcPr>
            <w:tcW w:w="1418" w:type="dxa"/>
          </w:tcPr>
          <w:p w14:paraId="2AE059E1" w14:textId="5039FDA8" w:rsidR="00CB34E2"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BE4D737" w14:textId="77777777" w:rsidR="00CB34E2" w:rsidRPr="00A24080" w:rsidRDefault="00CB34E2" w:rsidP="0028208B">
            <w:pPr>
              <w:jc w:val="both"/>
              <w:rPr>
                <w:bCs/>
                <w:sz w:val="22"/>
                <w:szCs w:val="22"/>
                <w:lang w:val="ro-RO"/>
              </w:rPr>
            </w:pPr>
          </w:p>
        </w:tc>
      </w:tr>
      <w:tr w:rsidR="00CB34E2" w:rsidRPr="00A24080" w14:paraId="1D1CCD9A"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2A709ED2" w14:textId="77777777" w:rsidTr="003146FA">
              <w:tc>
                <w:tcPr>
                  <w:tcW w:w="1056" w:type="dxa"/>
                </w:tcPr>
                <w:p w14:paraId="377FA61E" w14:textId="1626C9D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0050-0070</w:t>
                  </w:r>
                </w:p>
              </w:tc>
              <w:tc>
                <w:tcPr>
                  <w:tcW w:w="3861" w:type="dxa"/>
                </w:tcPr>
                <w:p w14:paraId="6919FA8B"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INVESTITOR</w:t>
                  </w:r>
                </w:p>
                <w:p w14:paraId="37148CF7" w14:textId="24ADA49A"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ro-RO"/>
                    </w:rPr>
                    <w:t>Instituția de credit care deține o poziție din securitizare într-o tranzacție de securitizare pentru care nu este nici inițiator, nici sponsor și nici creditor inițial.</w:t>
                  </w:r>
                </w:p>
              </w:tc>
            </w:tr>
          </w:tbl>
          <w:p w14:paraId="726FA459" w14:textId="77777777" w:rsidR="00CB34E2" w:rsidRPr="00A24080" w:rsidRDefault="00CB34E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0F3F54EB" w14:textId="77777777" w:rsidTr="003146FA">
              <w:tc>
                <w:tcPr>
                  <w:tcW w:w="1056" w:type="dxa"/>
                </w:tcPr>
                <w:p w14:paraId="5D671F04"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0050-0070</w:t>
                  </w:r>
                </w:p>
              </w:tc>
              <w:tc>
                <w:tcPr>
                  <w:tcW w:w="3861" w:type="dxa"/>
                </w:tcPr>
                <w:p w14:paraId="581DB372"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INVESTITOR</w:t>
                  </w:r>
                </w:p>
                <w:p w14:paraId="0679F1D6" w14:textId="6D9DFB32" w:rsidR="00CB34E2" w:rsidRPr="00A24080" w:rsidRDefault="002E1738" w:rsidP="0028208B">
                  <w:pPr>
                    <w:framePr w:hSpace="180" w:wrap="around" w:vAnchor="text" w:hAnchor="text" w:x="-612" w:y="1"/>
                    <w:ind w:right="90"/>
                    <w:suppressOverlap/>
                    <w:jc w:val="both"/>
                    <w:rPr>
                      <w:sz w:val="22"/>
                      <w:szCs w:val="22"/>
                      <w:lang w:val="ro-RO"/>
                    </w:rPr>
                  </w:pPr>
                  <w:r w:rsidRPr="00A24080">
                    <w:rPr>
                      <w:sz w:val="22"/>
                      <w:szCs w:val="22"/>
                      <w:lang w:val="ro-RO"/>
                    </w:rPr>
                    <w:t>Banca</w:t>
                  </w:r>
                  <w:r w:rsidR="00CB34E2" w:rsidRPr="00A24080">
                    <w:rPr>
                      <w:sz w:val="22"/>
                      <w:szCs w:val="22"/>
                      <w:lang w:val="ro-RO"/>
                    </w:rPr>
                    <w:t xml:space="preserve"> care deține o poziție din securitizare într-o tranzacție de securitizare pentru care nu este nici inițiator, nici sponsor și nici creditor inițial.</w:t>
                  </w:r>
                </w:p>
              </w:tc>
            </w:tr>
          </w:tbl>
          <w:p w14:paraId="4000D70E" w14:textId="77777777" w:rsidR="00CB34E2" w:rsidRPr="00A24080" w:rsidRDefault="00CB34E2" w:rsidP="0028208B">
            <w:pPr>
              <w:ind w:right="90"/>
              <w:rPr>
                <w:sz w:val="22"/>
                <w:szCs w:val="22"/>
                <w:lang w:val="ro-RO"/>
              </w:rPr>
            </w:pPr>
          </w:p>
        </w:tc>
        <w:tc>
          <w:tcPr>
            <w:tcW w:w="1418" w:type="dxa"/>
          </w:tcPr>
          <w:p w14:paraId="7B46FD23" w14:textId="50C19E7A" w:rsidR="00CB34E2"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D6A2BBC" w14:textId="77777777" w:rsidR="00CB34E2" w:rsidRPr="00A24080" w:rsidRDefault="00CB34E2" w:rsidP="0028208B">
            <w:pPr>
              <w:jc w:val="both"/>
              <w:rPr>
                <w:bCs/>
                <w:sz w:val="22"/>
                <w:szCs w:val="22"/>
                <w:lang w:val="ro-RO"/>
              </w:rPr>
            </w:pPr>
          </w:p>
        </w:tc>
      </w:tr>
      <w:tr w:rsidR="00CB34E2" w:rsidRPr="00A24080" w14:paraId="6454245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6D451310" w14:textId="77777777" w:rsidTr="003146FA">
              <w:tc>
                <w:tcPr>
                  <w:tcW w:w="1056" w:type="dxa"/>
                </w:tcPr>
                <w:p w14:paraId="3D89B5E1" w14:textId="03C441F2"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0080-0100</w:t>
                  </w:r>
                </w:p>
              </w:tc>
              <w:tc>
                <w:tcPr>
                  <w:tcW w:w="3861" w:type="dxa"/>
                </w:tcPr>
                <w:p w14:paraId="1B2280E9"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SPONSOR</w:t>
                  </w:r>
                </w:p>
                <w:p w14:paraId="15B833A1" w14:textId="77777777" w:rsidR="00CB34E2" w:rsidRPr="00A24080" w:rsidRDefault="00CB34E2"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 Articolul 4 alineatul (1) punctul 14 din Regulamentul (UE) nr. 575/2013 </w:t>
                  </w:r>
                </w:p>
                <w:p w14:paraId="67135F8A" w14:textId="56A157D1"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ro-RO"/>
                    </w:rPr>
                    <w:t>Un sponsor care securitizează și active proprii trebuie să completeze rândurile aferente inițiatorului cu informațiile referitoare la activele proprii securitizate.</w:t>
                  </w:r>
                </w:p>
              </w:tc>
            </w:tr>
          </w:tbl>
          <w:p w14:paraId="15D35730" w14:textId="77777777" w:rsidR="00CB34E2" w:rsidRPr="00A24080" w:rsidRDefault="00CB34E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29F86760" w14:textId="77777777" w:rsidTr="003146FA">
              <w:tc>
                <w:tcPr>
                  <w:tcW w:w="1056" w:type="dxa"/>
                </w:tcPr>
                <w:p w14:paraId="27F27D54"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0080-0100</w:t>
                  </w:r>
                </w:p>
              </w:tc>
              <w:tc>
                <w:tcPr>
                  <w:tcW w:w="3861" w:type="dxa"/>
                </w:tcPr>
                <w:p w14:paraId="1CBEC38E"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SPONSOR</w:t>
                  </w:r>
                </w:p>
                <w:p w14:paraId="5D60CF5D" w14:textId="7551B89E" w:rsidR="00CB34E2" w:rsidRPr="00A24080" w:rsidRDefault="00917DF7" w:rsidP="0028208B">
                  <w:pPr>
                    <w:framePr w:hSpace="180" w:wrap="around" w:vAnchor="text" w:hAnchor="text" w:x="-612" w:y="1"/>
                    <w:suppressAutoHyphens/>
                    <w:suppressOverlap/>
                    <w:jc w:val="both"/>
                    <w:rPr>
                      <w:sz w:val="22"/>
                      <w:szCs w:val="22"/>
                      <w:lang w:val="ro-RO"/>
                    </w:rPr>
                  </w:pPr>
                  <w:r w:rsidRPr="00A24080">
                    <w:rPr>
                      <w:sz w:val="22"/>
                      <w:szCs w:val="22"/>
                      <w:lang w:val="ro-RO"/>
                    </w:rPr>
                    <w:t>Subpct.3.28 din Regulamentul nr.221/2025</w:t>
                  </w:r>
                </w:p>
                <w:p w14:paraId="66000623"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ro-RO"/>
                    </w:rPr>
                    <w:t>Un sponsor care securitizează și active proprii trebuie să completeze rândurile aferente inițiatorului cu informațiile referitoare la activele proprii securitizate.</w:t>
                  </w:r>
                </w:p>
              </w:tc>
            </w:tr>
          </w:tbl>
          <w:p w14:paraId="67C48F1F" w14:textId="77777777" w:rsidR="00CB34E2" w:rsidRPr="00A24080" w:rsidRDefault="00CB34E2" w:rsidP="0028208B">
            <w:pPr>
              <w:ind w:right="90"/>
              <w:rPr>
                <w:sz w:val="22"/>
                <w:szCs w:val="22"/>
                <w:lang w:val="ro-RO"/>
              </w:rPr>
            </w:pPr>
          </w:p>
        </w:tc>
        <w:tc>
          <w:tcPr>
            <w:tcW w:w="1418" w:type="dxa"/>
          </w:tcPr>
          <w:p w14:paraId="7AB38B6C" w14:textId="5FADCA4C" w:rsidR="00CB34E2"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4F8B567" w14:textId="77777777" w:rsidR="00CB34E2" w:rsidRPr="00A24080" w:rsidRDefault="00CB34E2" w:rsidP="0028208B">
            <w:pPr>
              <w:jc w:val="both"/>
              <w:rPr>
                <w:bCs/>
                <w:sz w:val="22"/>
                <w:szCs w:val="22"/>
                <w:lang w:val="ro-RO"/>
              </w:rPr>
            </w:pPr>
          </w:p>
        </w:tc>
      </w:tr>
      <w:tr w:rsidR="00CB34E2" w:rsidRPr="00A24080" w14:paraId="26F2EA8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048B901C" w14:textId="77777777" w:rsidTr="003146FA">
              <w:tc>
                <w:tcPr>
                  <w:tcW w:w="1056" w:type="dxa"/>
                </w:tcPr>
                <w:p w14:paraId="0DF9362A" w14:textId="0ACFD0C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0030, 0060 și 0090</w:t>
                  </w:r>
                </w:p>
              </w:tc>
              <w:tc>
                <w:tcPr>
                  <w:tcW w:w="3861" w:type="dxa"/>
                </w:tcPr>
                <w:p w14:paraId="618916BE"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POZIȚII DIN SECURITIZARE</w:t>
                  </w:r>
                </w:p>
                <w:p w14:paraId="633A568E" w14:textId="77777777" w:rsidR="00CB34E2" w:rsidRPr="00A24080" w:rsidRDefault="00CB34E2"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Portofoliul de tranzacționare pe bază de corelație cuprinde securitizări, instrumente financiare derivate de credit de tip «n-th-to-default» și, eventual, alte </w:t>
                  </w:r>
                  <w:r w:rsidRPr="00A24080">
                    <w:rPr>
                      <w:sz w:val="22"/>
                      <w:szCs w:val="22"/>
                      <w:lang w:val="ro-RO"/>
                    </w:rPr>
                    <w:lastRenderedPageBreak/>
                    <w:t>poziții de acoperire împotriva riscurilor care îndeplinesc criteriile prevăzute la articolul 338 alineatele (2) și (3) din Regulamentul (UE) nr. 575/2013.</w:t>
                  </w:r>
                </w:p>
                <w:p w14:paraId="2C9FABB9" w14:textId="50177621"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ro-RO"/>
                    </w:rPr>
                    <w:t>Instrumentele financiare derivate ale expunerilor din securitizare care oferă o repartizare proporțională, precum și pozițiile care acoperă poziții din portofoliul de tranzacționare pe bază de corelație trebuie incluse pe rândul «Alte poziții din portofoliul de tranzacționare pe bază de corelație».</w:t>
                  </w:r>
                </w:p>
              </w:tc>
            </w:tr>
          </w:tbl>
          <w:p w14:paraId="1C90EE03" w14:textId="77777777" w:rsidR="00CB34E2" w:rsidRPr="00A24080" w:rsidRDefault="00CB34E2"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6D80077C" w14:textId="77777777" w:rsidTr="003146FA">
              <w:tc>
                <w:tcPr>
                  <w:tcW w:w="1056" w:type="dxa"/>
                </w:tcPr>
                <w:p w14:paraId="39A28E9D"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lastRenderedPageBreak/>
                    <w:t>0030, 0060 și 0090</w:t>
                  </w:r>
                </w:p>
              </w:tc>
              <w:tc>
                <w:tcPr>
                  <w:tcW w:w="3861" w:type="dxa"/>
                </w:tcPr>
                <w:p w14:paraId="2C45F47A"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t>POZIȚII DIN SECURITIZARE</w:t>
                  </w:r>
                </w:p>
                <w:p w14:paraId="12C0C530" w14:textId="3221E231" w:rsidR="00CB34E2" w:rsidRPr="00A24080" w:rsidRDefault="00CB34E2"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Portofoliul de tranzacționare pe bază de corelație cuprinde securitizări, instrumente financiare derivate de credit de tip «n-th-to-default» și, eventual, alte </w:t>
                  </w:r>
                  <w:r w:rsidRPr="00A24080">
                    <w:rPr>
                      <w:sz w:val="22"/>
                      <w:szCs w:val="22"/>
                      <w:lang w:val="ro-RO"/>
                    </w:rPr>
                    <w:lastRenderedPageBreak/>
                    <w:t xml:space="preserve">poziții de acoperire împotriva riscurilor care îndeplinesc criteriile prevăzute la </w:t>
                  </w:r>
                  <w:r w:rsidR="00297E1E" w:rsidRPr="00A24080">
                    <w:rPr>
                      <w:sz w:val="22"/>
                      <w:szCs w:val="22"/>
                      <w:lang w:val="ro-RO"/>
                    </w:rPr>
                    <w:t>pct.448</w:t>
                  </w:r>
                  <w:r w:rsidRPr="00A24080">
                    <w:rPr>
                      <w:sz w:val="22"/>
                      <w:szCs w:val="22"/>
                      <w:lang w:val="ro-RO"/>
                    </w:rPr>
                    <w:t xml:space="preserve"> din Regulamentul </w:t>
                  </w:r>
                  <w:r w:rsidR="00297E1E" w:rsidRPr="00A24080">
                    <w:rPr>
                      <w:sz w:val="22"/>
                      <w:szCs w:val="22"/>
                      <w:lang w:val="ro-RO"/>
                    </w:rPr>
                    <w:t>nr.XX/2026</w:t>
                  </w:r>
                  <w:r w:rsidRPr="00A24080">
                    <w:rPr>
                      <w:sz w:val="22"/>
                      <w:szCs w:val="22"/>
                      <w:lang w:val="ro-RO"/>
                    </w:rPr>
                    <w:t>.</w:t>
                  </w:r>
                </w:p>
                <w:p w14:paraId="08598640"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ro-RO"/>
                    </w:rPr>
                    <w:t>Instrumentele financiare derivate ale expunerilor din securitizare care oferă o repartizare proporțională, precum și pozițiile care acoperă poziții din portofoliul de tranzacționare pe bază de corelație trebuie incluse pe rândul «Alte poziții din portofoliul de tranzacționare pe bază de corelație».</w:t>
                  </w:r>
                </w:p>
              </w:tc>
            </w:tr>
          </w:tbl>
          <w:p w14:paraId="7F07A58E" w14:textId="77777777" w:rsidR="00CB34E2" w:rsidRPr="00A24080" w:rsidRDefault="00CB34E2" w:rsidP="0028208B">
            <w:pPr>
              <w:ind w:right="90"/>
              <w:rPr>
                <w:sz w:val="22"/>
                <w:szCs w:val="22"/>
                <w:lang w:val="ro-RO"/>
              </w:rPr>
            </w:pPr>
          </w:p>
        </w:tc>
        <w:tc>
          <w:tcPr>
            <w:tcW w:w="1418" w:type="dxa"/>
          </w:tcPr>
          <w:p w14:paraId="636728D4" w14:textId="5B23F792" w:rsidR="00CB34E2" w:rsidRPr="00A24080" w:rsidRDefault="00E8325F"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07962AC1" w14:textId="77777777" w:rsidR="00CB34E2" w:rsidRPr="00A24080" w:rsidRDefault="00CB34E2" w:rsidP="0028208B">
            <w:pPr>
              <w:jc w:val="both"/>
              <w:rPr>
                <w:bCs/>
                <w:sz w:val="22"/>
                <w:szCs w:val="22"/>
                <w:lang w:val="ro-RO"/>
              </w:rPr>
            </w:pPr>
          </w:p>
        </w:tc>
      </w:tr>
      <w:tr w:rsidR="00AA3F0D" w:rsidRPr="00A24080" w14:paraId="0649105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09DB29FC" w14:textId="77777777" w:rsidTr="003146FA">
              <w:tc>
                <w:tcPr>
                  <w:tcW w:w="1056" w:type="dxa"/>
                </w:tcPr>
                <w:p w14:paraId="7924229D" w14:textId="6B7B10F0"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0110</w:t>
                  </w:r>
                </w:p>
              </w:tc>
              <w:tc>
                <w:tcPr>
                  <w:tcW w:w="3861" w:type="dxa"/>
                </w:tcPr>
                <w:p w14:paraId="6B45AE5D"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pt-BR"/>
                    </w:rPr>
                  </w:pPr>
                  <w:r w:rsidRPr="00A24080">
                    <w:rPr>
                      <w:rStyle w:val="InstructionsTabelleberschrift"/>
                      <w:rFonts w:ascii="Times New Roman" w:hAnsi="Times New Roman"/>
                      <w:sz w:val="22"/>
                      <w:szCs w:val="22"/>
                      <w:lang w:val="pt-BR"/>
                    </w:rPr>
                    <w:t>INSTRUMENTE FINANCIARE DERIVATE DE CREDIT DE TIPUL NTH-TO-DEFAULT</w:t>
                  </w:r>
                </w:p>
                <w:p w14:paraId="6B3F0444" w14:textId="77777777" w:rsidR="00CB34E2" w:rsidRPr="00A24080" w:rsidRDefault="00CB34E2" w:rsidP="0028208B">
                  <w:pPr>
                    <w:framePr w:hSpace="180" w:wrap="around" w:vAnchor="text" w:hAnchor="text" w:x="-612" w:y="1"/>
                    <w:suppressAutoHyphens/>
                    <w:suppressOverlap/>
                    <w:jc w:val="both"/>
                    <w:rPr>
                      <w:sz w:val="22"/>
                      <w:szCs w:val="22"/>
                      <w:lang w:val="pt-BR"/>
                    </w:rPr>
                  </w:pPr>
                  <w:r w:rsidRPr="00A24080">
                    <w:rPr>
                      <w:sz w:val="22"/>
                      <w:szCs w:val="22"/>
                      <w:lang w:val="pt-BR"/>
                    </w:rPr>
                    <w:t>Aici se raportează instrumentele financiare derivate de credit de tipul «n-th-to-default» care sunt acoperite prin instrumente financiare derivate de credit de tipul «n-th-to-default» în conformitate cu articolul 347 Regulamentul (UE) nr. 575/2013.</w:t>
                  </w:r>
                </w:p>
                <w:p w14:paraId="7A50D3D2" w14:textId="6B93A6DA"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pt-BR"/>
                    </w:rPr>
                    <w:t>Inițiatorul, investitorul și sponsorul pozițiilor nu se încadrează la instrumentele financiare derivate de credit de tipul «n-th-to-default». În consecință, în cazul instrumentelor financiare derivate de credit de tipul «n-th-to-default» nu se poate realiza o defalcare similară cu cea realizată în cazul pozițiilor din securitizare.</w:t>
                  </w:r>
                </w:p>
              </w:tc>
            </w:tr>
          </w:tbl>
          <w:p w14:paraId="2A1A3371" w14:textId="77777777" w:rsidR="00AA3F0D" w:rsidRPr="00A24080" w:rsidRDefault="00AA3F0D"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B34E2" w:rsidRPr="00EE7DB0" w14:paraId="036071B0" w14:textId="77777777" w:rsidTr="003146FA">
              <w:tc>
                <w:tcPr>
                  <w:tcW w:w="1056" w:type="dxa"/>
                </w:tcPr>
                <w:p w14:paraId="02BB2CAC"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rPr>
                    <w:t>0110</w:t>
                  </w:r>
                </w:p>
              </w:tc>
              <w:tc>
                <w:tcPr>
                  <w:tcW w:w="3861" w:type="dxa"/>
                </w:tcPr>
                <w:p w14:paraId="61AD700A" w14:textId="77777777" w:rsidR="00CB34E2" w:rsidRPr="00A24080" w:rsidRDefault="00CB34E2" w:rsidP="0028208B">
                  <w:pPr>
                    <w:framePr w:hSpace="180" w:wrap="around" w:vAnchor="text" w:hAnchor="text" w:x="-612" w:y="1"/>
                    <w:suppressAutoHyphens/>
                    <w:suppressOverlap/>
                    <w:jc w:val="both"/>
                    <w:rPr>
                      <w:rStyle w:val="InstructionsTabelleberschrift"/>
                      <w:rFonts w:ascii="Times New Roman" w:hAnsi="Times New Roman"/>
                      <w:sz w:val="22"/>
                      <w:szCs w:val="22"/>
                      <w:lang w:val="pt-BR"/>
                    </w:rPr>
                  </w:pPr>
                  <w:r w:rsidRPr="00A24080">
                    <w:rPr>
                      <w:rStyle w:val="InstructionsTabelleberschrift"/>
                      <w:rFonts w:ascii="Times New Roman" w:hAnsi="Times New Roman"/>
                      <w:sz w:val="22"/>
                      <w:szCs w:val="22"/>
                      <w:lang w:val="pt-BR"/>
                    </w:rPr>
                    <w:t>INSTRUMENTE FINANCIARE DERIVATE DE CREDIT DE TIPUL NTH-TO-DEFAULT</w:t>
                  </w:r>
                </w:p>
                <w:p w14:paraId="55B01A42" w14:textId="58EF439F" w:rsidR="00CB34E2" w:rsidRPr="00A24080" w:rsidRDefault="00CB34E2" w:rsidP="0028208B">
                  <w:pPr>
                    <w:framePr w:hSpace="180" w:wrap="around" w:vAnchor="text" w:hAnchor="text" w:x="-612" w:y="1"/>
                    <w:suppressAutoHyphens/>
                    <w:suppressOverlap/>
                    <w:jc w:val="both"/>
                    <w:rPr>
                      <w:sz w:val="22"/>
                      <w:szCs w:val="22"/>
                      <w:lang w:val="pt-BR"/>
                    </w:rPr>
                  </w:pPr>
                  <w:r w:rsidRPr="00A24080">
                    <w:rPr>
                      <w:sz w:val="22"/>
                      <w:szCs w:val="22"/>
                      <w:lang w:val="pt-BR"/>
                    </w:rPr>
                    <w:t xml:space="preserve">Aici se raportează instrumentele financiare derivate de credit de tipul «n-th-to-default» care sunt acoperite prin instrumente financiare derivate de credit de tipul «n-th-to-default» în conformitate cu </w:t>
                  </w:r>
                  <w:r w:rsidR="00095F60" w:rsidRPr="00A24080">
                    <w:rPr>
                      <w:sz w:val="22"/>
                      <w:szCs w:val="22"/>
                      <w:lang w:val="pt-BR"/>
                    </w:rPr>
                    <w:t>capitolul IV secțiunea 5 subsecțiunea 2 din Regulamentul nr.XX/2026</w:t>
                  </w:r>
                  <w:r w:rsidRPr="00A24080">
                    <w:rPr>
                      <w:sz w:val="22"/>
                      <w:szCs w:val="22"/>
                      <w:lang w:val="pt-BR"/>
                    </w:rPr>
                    <w:t>.</w:t>
                  </w:r>
                </w:p>
                <w:p w14:paraId="5FEC32A9" w14:textId="77777777" w:rsidR="00CB34E2" w:rsidRPr="00A24080" w:rsidRDefault="00CB34E2" w:rsidP="0028208B">
                  <w:pPr>
                    <w:framePr w:hSpace="180" w:wrap="around" w:vAnchor="text" w:hAnchor="text" w:x="-612" w:y="1"/>
                    <w:ind w:right="90"/>
                    <w:suppressOverlap/>
                    <w:jc w:val="both"/>
                    <w:rPr>
                      <w:sz w:val="22"/>
                      <w:szCs w:val="22"/>
                      <w:lang w:val="ro-RO"/>
                    </w:rPr>
                  </w:pPr>
                  <w:r w:rsidRPr="00A24080">
                    <w:rPr>
                      <w:sz w:val="22"/>
                      <w:szCs w:val="22"/>
                      <w:lang w:val="pt-BR"/>
                    </w:rPr>
                    <w:t>Inițiatorul, investitorul și sponsorul pozițiilor nu se încadrează la instrumentele financiare derivate de credit de tipul «n-th-to-default». În consecință, în cazul instrumentelor financiare derivate de credit de tipul «n-th-to-default» nu se poate realiza o defalcare similară cu cea realizată în cazul pozițiilor din securitizare.</w:t>
                  </w:r>
                </w:p>
              </w:tc>
            </w:tr>
          </w:tbl>
          <w:p w14:paraId="4A3451D6" w14:textId="77777777" w:rsidR="00AA3F0D" w:rsidRPr="00A24080" w:rsidRDefault="00AA3F0D" w:rsidP="0028208B">
            <w:pPr>
              <w:ind w:right="90"/>
              <w:rPr>
                <w:sz w:val="22"/>
                <w:szCs w:val="22"/>
                <w:lang w:val="ro-RO"/>
              </w:rPr>
            </w:pPr>
          </w:p>
        </w:tc>
        <w:tc>
          <w:tcPr>
            <w:tcW w:w="1418" w:type="dxa"/>
          </w:tcPr>
          <w:p w14:paraId="54346C23" w14:textId="77ECA690" w:rsidR="00AA3F0D"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A255C0B" w14:textId="487B3B5F" w:rsidR="00AA3F0D" w:rsidRPr="00A24080" w:rsidRDefault="00AA3F0D" w:rsidP="0028208B">
            <w:pPr>
              <w:jc w:val="both"/>
              <w:rPr>
                <w:bCs/>
                <w:sz w:val="22"/>
                <w:szCs w:val="22"/>
                <w:lang w:val="ro-RO"/>
              </w:rPr>
            </w:pPr>
          </w:p>
        </w:tc>
      </w:tr>
      <w:tr w:rsidR="00CB34E2" w:rsidRPr="00A24080" w14:paraId="7AEC0C59"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907F3" w:rsidRPr="00A24080" w14:paraId="333542FF" w14:textId="77777777" w:rsidTr="003146FA">
              <w:tc>
                <w:tcPr>
                  <w:tcW w:w="1056" w:type="dxa"/>
                </w:tcPr>
                <w:p w14:paraId="64BFE90A" w14:textId="34C8F2EC"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 xml:space="preserve">0040, 0070, </w:t>
                  </w:r>
                  <w:r w:rsidRPr="00A24080">
                    <w:rPr>
                      <w:sz w:val="22"/>
                      <w:szCs w:val="22"/>
                    </w:rPr>
                    <w:lastRenderedPageBreak/>
                    <w:t>0100 și 0120</w:t>
                  </w:r>
                </w:p>
              </w:tc>
              <w:tc>
                <w:tcPr>
                  <w:tcW w:w="3861" w:type="dxa"/>
                </w:tcPr>
                <w:p w14:paraId="1C1C06D4" w14:textId="77777777" w:rsidR="00C907F3" w:rsidRPr="00A24080" w:rsidRDefault="00C907F3"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lastRenderedPageBreak/>
                    <w:t>ALTE POZIȚII CTP</w:t>
                  </w:r>
                </w:p>
                <w:p w14:paraId="7A3EA43E" w14:textId="77777777" w:rsidR="00C907F3" w:rsidRPr="00A24080" w:rsidRDefault="00C907F3"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Sunt incluse următoarele poziții: </w:t>
                  </w:r>
                </w:p>
                <w:p w14:paraId="502FC553" w14:textId="4D2D67FA" w:rsidR="00C907F3" w:rsidRPr="00A24080" w:rsidRDefault="00C907F3" w:rsidP="0028208B">
                  <w:pPr>
                    <w:pStyle w:val="ListParagraph"/>
                    <w:framePr w:hSpace="180" w:wrap="around" w:vAnchor="text" w:hAnchor="text" w:x="-612" w:y="1"/>
                    <w:numPr>
                      <w:ilvl w:val="0"/>
                      <w:numId w:val="3"/>
                    </w:numPr>
                    <w:tabs>
                      <w:tab w:val="left" w:pos="720"/>
                    </w:tabs>
                    <w:suppressAutoHyphens/>
                    <w:suppressOverlap/>
                    <w:jc w:val="both"/>
                    <w:rPr>
                      <w:sz w:val="22"/>
                      <w:szCs w:val="22"/>
                      <w:lang w:val="ro-RO"/>
                    </w:rPr>
                  </w:pPr>
                  <w:r w:rsidRPr="00A24080">
                    <w:rPr>
                      <w:sz w:val="22"/>
                      <w:szCs w:val="22"/>
                      <w:lang w:val="ro-RO"/>
                    </w:rPr>
                    <w:lastRenderedPageBreak/>
                    <w:t>instrumentele financiare derivate ale unor expuneri din securitizare care oferă o repartizare proporțională, precum și pozițiile care acoperă poziții din portofoliul de tranzacționare pe bază de corelație;</w:t>
                  </w:r>
                </w:p>
                <w:p w14:paraId="53B1E315" w14:textId="45696B34" w:rsidR="00C907F3" w:rsidRPr="00A24080" w:rsidRDefault="00C907F3" w:rsidP="0028208B">
                  <w:pPr>
                    <w:pStyle w:val="ListParagraph"/>
                    <w:framePr w:hSpace="180" w:wrap="around" w:vAnchor="text" w:hAnchor="text" w:x="-612" w:y="1"/>
                    <w:numPr>
                      <w:ilvl w:val="0"/>
                      <w:numId w:val="3"/>
                    </w:numPr>
                    <w:tabs>
                      <w:tab w:val="left" w:pos="720"/>
                    </w:tabs>
                    <w:suppressAutoHyphens/>
                    <w:suppressOverlap/>
                    <w:jc w:val="both"/>
                    <w:rPr>
                      <w:sz w:val="22"/>
                      <w:szCs w:val="22"/>
                      <w:lang w:val="ro-RO"/>
                    </w:rPr>
                  </w:pPr>
                  <w:r w:rsidRPr="00A24080">
                    <w:rPr>
                      <w:sz w:val="22"/>
                      <w:szCs w:val="22"/>
                      <w:lang w:val="ro-RO"/>
                    </w:rPr>
                    <w:t>pozițiile din portofoliul de tranzacționare pe bază de corelație acoperite prin instrumente financiare derivate de credit, în conformitate cu articolul 346 din Regulamentul (UE) nr. 575/2013;</w:t>
                  </w:r>
                </w:p>
                <w:p w14:paraId="315C0B96" w14:textId="4C087698" w:rsidR="00C907F3" w:rsidRPr="00A24080" w:rsidRDefault="00C907F3" w:rsidP="0028208B">
                  <w:pPr>
                    <w:pStyle w:val="ListParagraph"/>
                    <w:framePr w:hSpace="180" w:wrap="around" w:vAnchor="text" w:hAnchor="text" w:x="-612" w:y="1"/>
                    <w:numPr>
                      <w:ilvl w:val="0"/>
                      <w:numId w:val="3"/>
                    </w:numPr>
                    <w:ind w:right="90"/>
                    <w:suppressOverlap/>
                    <w:jc w:val="both"/>
                    <w:rPr>
                      <w:sz w:val="22"/>
                      <w:szCs w:val="22"/>
                      <w:lang w:val="ro-RO"/>
                    </w:rPr>
                  </w:pPr>
                  <w:r w:rsidRPr="00A24080">
                    <w:rPr>
                      <w:sz w:val="22"/>
                      <w:szCs w:val="22"/>
                    </w:rPr>
                    <w:t>alte poziții care îndeplinesc cerințele de la articolul 338 alineatul (3) din Regulamentul (UE) nr. 575/2013.</w:t>
                  </w:r>
                </w:p>
              </w:tc>
            </w:tr>
          </w:tbl>
          <w:p w14:paraId="0429C8F5" w14:textId="77777777" w:rsidR="00CB34E2" w:rsidRPr="00A24080" w:rsidRDefault="00CB34E2"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7D10796D" w14:textId="77777777" w:rsidTr="003146FA">
              <w:tc>
                <w:tcPr>
                  <w:tcW w:w="1056" w:type="dxa"/>
                </w:tcPr>
                <w:p w14:paraId="5F008A6D" w14:textId="7777777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lastRenderedPageBreak/>
                    <w:t xml:space="preserve">0040, 0070, </w:t>
                  </w:r>
                  <w:r w:rsidRPr="00A24080">
                    <w:rPr>
                      <w:sz w:val="22"/>
                      <w:szCs w:val="22"/>
                    </w:rPr>
                    <w:lastRenderedPageBreak/>
                    <w:t>0100 și 0120</w:t>
                  </w:r>
                </w:p>
              </w:tc>
              <w:tc>
                <w:tcPr>
                  <w:tcW w:w="3861" w:type="dxa"/>
                </w:tcPr>
                <w:p w14:paraId="32CB58DB" w14:textId="77777777" w:rsidR="00C907F3" w:rsidRPr="00A24080" w:rsidRDefault="00C907F3" w:rsidP="0028208B">
                  <w:pPr>
                    <w:framePr w:hSpace="180" w:wrap="around" w:vAnchor="text" w:hAnchor="text" w:x="-612" w:y="1"/>
                    <w:suppressAutoHyphens/>
                    <w:suppressOverlap/>
                    <w:jc w:val="both"/>
                    <w:rPr>
                      <w:rStyle w:val="InstructionsTabelleberschrift"/>
                      <w:rFonts w:ascii="Times New Roman" w:hAnsi="Times New Roman"/>
                      <w:sz w:val="22"/>
                      <w:szCs w:val="22"/>
                      <w:lang w:val="ro-RO"/>
                    </w:rPr>
                  </w:pPr>
                  <w:r w:rsidRPr="00A24080">
                    <w:rPr>
                      <w:rStyle w:val="InstructionsTabelleberschrift"/>
                      <w:rFonts w:ascii="Times New Roman" w:hAnsi="Times New Roman"/>
                      <w:sz w:val="22"/>
                      <w:szCs w:val="22"/>
                      <w:lang w:val="ro-RO"/>
                    </w:rPr>
                    <w:lastRenderedPageBreak/>
                    <w:t>ALTE POZIȚII CTP</w:t>
                  </w:r>
                </w:p>
                <w:p w14:paraId="3E1C9A8E" w14:textId="77777777" w:rsidR="00C907F3" w:rsidRPr="00A24080" w:rsidRDefault="00C907F3" w:rsidP="0028208B">
                  <w:pPr>
                    <w:framePr w:hSpace="180" w:wrap="around" w:vAnchor="text" w:hAnchor="text" w:x="-612" w:y="1"/>
                    <w:suppressAutoHyphens/>
                    <w:suppressOverlap/>
                    <w:jc w:val="both"/>
                    <w:rPr>
                      <w:sz w:val="22"/>
                      <w:szCs w:val="22"/>
                      <w:lang w:val="ro-RO"/>
                    </w:rPr>
                  </w:pPr>
                  <w:r w:rsidRPr="00A24080">
                    <w:rPr>
                      <w:sz w:val="22"/>
                      <w:szCs w:val="22"/>
                      <w:lang w:val="ro-RO"/>
                    </w:rPr>
                    <w:t xml:space="preserve">Sunt incluse următoarele poziții: </w:t>
                  </w:r>
                </w:p>
                <w:p w14:paraId="6A6220FC" w14:textId="2A53480C" w:rsidR="00C907F3" w:rsidRPr="00A24080" w:rsidRDefault="00C907F3" w:rsidP="0028208B">
                  <w:pPr>
                    <w:pStyle w:val="ListParagraph"/>
                    <w:framePr w:hSpace="180" w:wrap="around" w:vAnchor="text" w:hAnchor="text" w:x="-612" w:y="1"/>
                    <w:numPr>
                      <w:ilvl w:val="0"/>
                      <w:numId w:val="5"/>
                    </w:numPr>
                    <w:tabs>
                      <w:tab w:val="left" w:pos="720"/>
                    </w:tabs>
                    <w:suppressAutoHyphens/>
                    <w:suppressOverlap/>
                    <w:jc w:val="both"/>
                    <w:rPr>
                      <w:sz w:val="22"/>
                      <w:szCs w:val="22"/>
                      <w:lang w:val="ro-RO"/>
                    </w:rPr>
                  </w:pPr>
                  <w:r w:rsidRPr="00A24080">
                    <w:rPr>
                      <w:sz w:val="22"/>
                      <w:szCs w:val="22"/>
                      <w:lang w:val="ro-RO"/>
                    </w:rPr>
                    <w:lastRenderedPageBreak/>
                    <w:t>instrumentele financiare derivate ale unor expuneri din securitizare care oferă o repartizare proporțională, precum și pozițiile care acoperă poziții din portofoliul de tranzacționare pe bază de corelație;</w:t>
                  </w:r>
                </w:p>
                <w:p w14:paraId="519856DC" w14:textId="607CC256" w:rsidR="00C907F3" w:rsidRPr="00A24080" w:rsidRDefault="00C907F3" w:rsidP="0028208B">
                  <w:pPr>
                    <w:pStyle w:val="ListParagraph"/>
                    <w:framePr w:hSpace="180" w:wrap="around" w:vAnchor="text" w:hAnchor="text" w:x="-612" w:y="1"/>
                    <w:numPr>
                      <w:ilvl w:val="0"/>
                      <w:numId w:val="5"/>
                    </w:numPr>
                    <w:tabs>
                      <w:tab w:val="left" w:pos="720"/>
                    </w:tabs>
                    <w:suppressAutoHyphens/>
                    <w:suppressOverlap/>
                    <w:jc w:val="both"/>
                    <w:rPr>
                      <w:sz w:val="22"/>
                      <w:szCs w:val="22"/>
                      <w:lang w:val="ro-RO"/>
                    </w:rPr>
                  </w:pPr>
                  <w:r w:rsidRPr="00A24080">
                    <w:rPr>
                      <w:sz w:val="22"/>
                      <w:szCs w:val="22"/>
                      <w:lang w:val="ro-RO"/>
                    </w:rPr>
                    <w:t xml:space="preserve">pozițiile din portofoliul de tranzacționare pe bază de corelație acoperite prin instrumente financiare derivate de credit, în conformitate cu </w:t>
                  </w:r>
                  <w:r w:rsidR="003176FD" w:rsidRPr="00A24080">
                    <w:rPr>
                      <w:sz w:val="22"/>
                      <w:szCs w:val="22"/>
                      <w:lang w:val="ro-RO"/>
                    </w:rPr>
                    <w:t>titlul II capitolul IV secțiunea 5 subsecțiunea 1</w:t>
                  </w:r>
                  <w:r w:rsidRPr="00A24080">
                    <w:rPr>
                      <w:sz w:val="22"/>
                      <w:szCs w:val="22"/>
                      <w:lang w:val="ro-RO"/>
                    </w:rPr>
                    <w:t xml:space="preserve"> din Regulamentul </w:t>
                  </w:r>
                  <w:r w:rsidR="003176FD" w:rsidRPr="00A24080">
                    <w:rPr>
                      <w:sz w:val="22"/>
                      <w:szCs w:val="22"/>
                      <w:lang w:val="ro-RO"/>
                    </w:rPr>
                    <w:t>nr.XX/2026</w:t>
                  </w:r>
                  <w:r w:rsidRPr="00A24080">
                    <w:rPr>
                      <w:sz w:val="22"/>
                      <w:szCs w:val="22"/>
                      <w:lang w:val="ro-RO"/>
                    </w:rPr>
                    <w:t>;</w:t>
                  </w:r>
                </w:p>
                <w:p w14:paraId="5C4924AA" w14:textId="646BC6D8" w:rsidR="00C907F3" w:rsidRPr="00A24080" w:rsidRDefault="00C907F3" w:rsidP="0028208B">
                  <w:pPr>
                    <w:pStyle w:val="ListParagraph"/>
                    <w:framePr w:hSpace="180" w:wrap="around" w:vAnchor="text" w:hAnchor="text" w:x="-612" w:y="1"/>
                    <w:numPr>
                      <w:ilvl w:val="0"/>
                      <w:numId w:val="5"/>
                    </w:numPr>
                    <w:ind w:right="90"/>
                    <w:suppressOverlap/>
                    <w:jc w:val="both"/>
                    <w:rPr>
                      <w:sz w:val="22"/>
                      <w:szCs w:val="22"/>
                      <w:lang w:val="ro-RO"/>
                    </w:rPr>
                  </w:pPr>
                  <w:r w:rsidRPr="00A24080">
                    <w:rPr>
                      <w:sz w:val="22"/>
                      <w:szCs w:val="22"/>
                      <w:lang w:val="ro-RO"/>
                    </w:rPr>
                    <w:t>alte poziții care îndeplinesc cerințele</w:t>
                  </w:r>
                  <w:r w:rsidR="00565ADE" w:rsidRPr="00A24080">
                    <w:rPr>
                      <w:rFonts w:eastAsiaTheme="minorHAnsi" w:cstheme="minorBidi"/>
                      <w:kern w:val="2"/>
                      <w:sz w:val="22"/>
                      <w:szCs w:val="22"/>
                      <w:lang w:val="ro-RO" w:eastAsia="en-US"/>
                    </w:rPr>
                    <w:t xml:space="preserve"> </w:t>
                  </w:r>
                  <w:r w:rsidR="00565ADE" w:rsidRPr="00A24080">
                    <w:rPr>
                      <w:sz w:val="22"/>
                      <w:szCs w:val="22"/>
                      <w:lang w:val="ro-RO"/>
                    </w:rPr>
                    <w:t xml:space="preserve">din Regulamentul nr.XX/2026 </w:t>
                  </w:r>
                  <w:r w:rsidRPr="00A24080">
                    <w:rPr>
                      <w:sz w:val="22"/>
                      <w:szCs w:val="22"/>
                      <w:lang w:val="ro-RO"/>
                    </w:rPr>
                    <w:t>.</w:t>
                  </w:r>
                </w:p>
              </w:tc>
            </w:tr>
          </w:tbl>
          <w:p w14:paraId="520F1121" w14:textId="77777777" w:rsidR="00CB34E2" w:rsidRPr="00A24080" w:rsidRDefault="00CB34E2" w:rsidP="0028208B">
            <w:pPr>
              <w:ind w:right="90"/>
              <w:rPr>
                <w:sz w:val="22"/>
                <w:szCs w:val="22"/>
                <w:lang w:val="ro-RO"/>
              </w:rPr>
            </w:pPr>
          </w:p>
        </w:tc>
        <w:tc>
          <w:tcPr>
            <w:tcW w:w="1418" w:type="dxa"/>
          </w:tcPr>
          <w:p w14:paraId="27110CAF" w14:textId="16C2A78A" w:rsidR="00CB34E2" w:rsidRPr="00A24080" w:rsidRDefault="00055F76"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54206C6A" w14:textId="22B2D01E" w:rsidR="00CB34E2" w:rsidRPr="00A24080" w:rsidRDefault="00CB34E2" w:rsidP="0028208B">
            <w:pPr>
              <w:jc w:val="both"/>
              <w:rPr>
                <w:bCs/>
                <w:sz w:val="22"/>
                <w:szCs w:val="22"/>
                <w:lang w:val="ro-RO"/>
              </w:rPr>
            </w:pPr>
          </w:p>
        </w:tc>
      </w:tr>
      <w:tr w:rsidR="00C907F3" w:rsidRPr="00A24080" w14:paraId="27E9E970" w14:textId="77777777" w:rsidTr="0028208B">
        <w:tc>
          <w:tcPr>
            <w:tcW w:w="5143" w:type="dxa"/>
          </w:tcPr>
          <w:p w14:paraId="6ED9236A" w14:textId="1CDD98DD" w:rsidR="00C907F3" w:rsidRPr="00A24080" w:rsidRDefault="00C907F3" w:rsidP="0028208B">
            <w:pPr>
              <w:ind w:right="90"/>
              <w:jc w:val="both"/>
              <w:rPr>
                <w:sz w:val="22"/>
                <w:szCs w:val="22"/>
                <w:lang w:val="pt-BR"/>
              </w:rPr>
            </w:pPr>
            <w:r w:rsidRPr="00A24080">
              <w:rPr>
                <w:sz w:val="22"/>
                <w:szCs w:val="22"/>
                <w:lang w:val="pt-BR"/>
              </w:rPr>
              <w:t>5.4. C 21.01 – Riscul de piață: abordarea standardizată simplificată pentru riscul de poziție aferent titlurilor de capital (MKR SSA EQU)</w:t>
            </w:r>
          </w:p>
        </w:tc>
        <w:tc>
          <w:tcPr>
            <w:tcW w:w="5103" w:type="dxa"/>
          </w:tcPr>
          <w:p w14:paraId="1B30893A" w14:textId="59C6FB23" w:rsidR="00C907F3" w:rsidRPr="00A24080" w:rsidRDefault="006526DB" w:rsidP="0028208B">
            <w:pPr>
              <w:ind w:right="90"/>
              <w:jc w:val="both"/>
              <w:rPr>
                <w:sz w:val="22"/>
                <w:szCs w:val="22"/>
                <w:lang w:val="pt-BR"/>
              </w:rPr>
            </w:pPr>
            <w:r w:rsidRPr="00A24080">
              <w:rPr>
                <w:b/>
                <w:i/>
                <w:sz w:val="22"/>
                <w:szCs w:val="22"/>
                <w:lang w:val="pt-BR"/>
              </w:rPr>
              <w:t>Secțiunea 5</w:t>
            </w:r>
            <w:r w:rsidR="00C907F3" w:rsidRPr="00A24080">
              <w:rPr>
                <w:sz w:val="22"/>
                <w:szCs w:val="22"/>
                <w:lang w:val="pt-BR"/>
              </w:rPr>
              <w:t>. C 21.01 – Riscul de piață: abordarea standardizată simplificată pentru riscul de poziție aferent titlurilor de capital (MKR SSA EQU)</w:t>
            </w:r>
          </w:p>
        </w:tc>
        <w:tc>
          <w:tcPr>
            <w:tcW w:w="1418" w:type="dxa"/>
          </w:tcPr>
          <w:p w14:paraId="300D4951" w14:textId="0F7D2090"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8C27AB3" w14:textId="77777777" w:rsidR="00C907F3" w:rsidRPr="00A24080" w:rsidRDefault="00C907F3" w:rsidP="0028208B">
            <w:pPr>
              <w:jc w:val="both"/>
              <w:rPr>
                <w:bCs/>
                <w:sz w:val="22"/>
                <w:szCs w:val="22"/>
                <w:lang w:val="ro-RO"/>
              </w:rPr>
            </w:pPr>
          </w:p>
        </w:tc>
      </w:tr>
      <w:tr w:rsidR="00C907F3" w:rsidRPr="00A24080" w14:paraId="3EC64263" w14:textId="77777777" w:rsidTr="0028208B">
        <w:tc>
          <w:tcPr>
            <w:tcW w:w="5143" w:type="dxa"/>
          </w:tcPr>
          <w:p w14:paraId="5F664B9F" w14:textId="77A0FA9D" w:rsidR="00C907F3" w:rsidRPr="00A24080" w:rsidRDefault="00C907F3" w:rsidP="0028208B">
            <w:pPr>
              <w:ind w:right="90"/>
              <w:jc w:val="both"/>
              <w:rPr>
                <w:sz w:val="22"/>
                <w:szCs w:val="22"/>
                <w:lang w:val="pt-BR"/>
              </w:rPr>
            </w:pPr>
            <w:r w:rsidRPr="00A24080">
              <w:rPr>
                <w:sz w:val="22"/>
                <w:szCs w:val="22"/>
                <w:lang w:val="pt-BR"/>
              </w:rPr>
              <w:t>5.4.1. Observații generale</w:t>
            </w:r>
          </w:p>
        </w:tc>
        <w:tc>
          <w:tcPr>
            <w:tcW w:w="5103" w:type="dxa"/>
          </w:tcPr>
          <w:p w14:paraId="726FEF85" w14:textId="419D65D3" w:rsidR="00C907F3" w:rsidRPr="00A24080" w:rsidRDefault="006526DB" w:rsidP="0028208B">
            <w:pPr>
              <w:ind w:right="90"/>
              <w:jc w:val="both"/>
              <w:rPr>
                <w:sz w:val="22"/>
                <w:szCs w:val="22"/>
                <w:lang w:val="pt-BR"/>
              </w:rPr>
            </w:pPr>
            <w:r w:rsidRPr="00A24080">
              <w:rPr>
                <w:sz w:val="22"/>
                <w:szCs w:val="22"/>
                <w:lang w:val="pt-BR"/>
              </w:rPr>
              <w:t xml:space="preserve">Subsecțiunea </w:t>
            </w:r>
            <w:r w:rsidR="00C907F3" w:rsidRPr="00A24080">
              <w:rPr>
                <w:sz w:val="22"/>
                <w:szCs w:val="22"/>
                <w:lang w:val="pt-BR"/>
              </w:rPr>
              <w:t>1. Observații generale</w:t>
            </w:r>
          </w:p>
        </w:tc>
        <w:tc>
          <w:tcPr>
            <w:tcW w:w="1418" w:type="dxa"/>
          </w:tcPr>
          <w:p w14:paraId="4B44BC93" w14:textId="2B1A2716"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703259A" w14:textId="77777777" w:rsidR="00C907F3" w:rsidRPr="00A24080" w:rsidRDefault="00C907F3" w:rsidP="0028208B">
            <w:pPr>
              <w:jc w:val="both"/>
              <w:rPr>
                <w:bCs/>
                <w:sz w:val="22"/>
                <w:szCs w:val="22"/>
                <w:lang w:val="ro-RO"/>
              </w:rPr>
            </w:pPr>
          </w:p>
        </w:tc>
      </w:tr>
      <w:tr w:rsidR="00C907F3" w:rsidRPr="00A24080" w14:paraId="72ED99F1" w14:textId="77777777" w:rsidTr="0028208B">
        <w:tc>
          <w:tcPr>
            <w:tcW w:w="5143" w:type="dxa"/>
          </w:tcPr>
          <w:p w14:paraId="4879FD13" w14:textId="505E8A9A" w:rsidR="00C907F3" w:rsidRPr="00A24080" w:rsidRDefault="00C907F3" w:rsidP="0028208B">
            <w:pPr>
              <w:ind w:right="90"/>
              <w:jc w:val="both"/>
              <w:rPr>
                <w:sz w:val="22"/>
                <w:szCs w:val="22"/>
                <w:lang w:val="ro-RO"/>
              </w:rPr>
            </w:pPr>
            <w:r w:rsidRPr="00A24080">
              <w:rPr>
                <w:sz w:val="22"/>
                <w:szCs w:val="22"/>
                <w:lang w:val="ro-RO"/>
              </w:rPr>
              <w:t>169.</w:t>
            </w:r>
            <w:r w:rsidRPr="00A24080">
              <w:rPr>
                <w:sz w:val="22"/>
                <w:szCs w:val="22"/>
                <w:lang w:val="ro-RO"/>
              </w:rPr>
              <w:tab/>
              <w:t xml:space="preserve"> Acest formular prevede furnizarea de informații privind pozițiile și cerințele de fonduri proprii corespunzătoare pentru riscul de poziție aferent titlurilor de capital deținute în portofoliul de tranzacționare și tratate conform abordării standardizate.</w:t>
            </w:r>
          </w:p>
        </w:tc>
        <w:tc>
          <w:tcPr>
            <w:tcW w:w="5103" w:type="dxa"/>
          </w:tcPr>
          <w:p w14:paraId="0AEE972D" w14:textId="4E583002" w:rsidR="00C907F3" w:rsidRPr="00A24080" w:rsidRDefault="006526DB" w:rsidP="0028208B">
            <w:pPr>
              <w:ind w:right="90"/>
              <w:jc w:val="both"/>
              <w:rPr>
                <w:sz w:val="22"/>
                <w:szCs w:val="22"/>
                <w:lang w:val="ro-RO"/>
              </w:rPr>
            </w:pPr>
            <w:r w:rsidRPr="00A24080">
              <w:rPr>
                <w:sz w:val="22"/>
                <w:szCs w:val="22"/>
                <w:lang w:val="ro-RO"/>
              </w:rPr>
              <w:t>12</w:t>
            </w:r>
            <w:r w:rsidR="00C907F3" w:rsidRPr="00A24080">
              <w:rPr>
                <w:sz w:val="22"/>
                <w:szCs w:val="22"/>
                <w:lang w:val="ro-RO"/>
              </w:rPr>
              <w:t>.</w:t>
            </w:r>
            <w:r w:rsidR="00C907F3" w:rsidRPr="00A24080">
              <w:rPr>
                <w:sz w:val="22"/>
                <w:szCs w:val="22"/>
                <w:lang w:val="ro-RO"/>
              </w:rPr>
              <w:tab/>
              <w:t xml:space="preserve"> Acest formular prevede furnizarea de informații privind pozițiile și cerințele de fonduri proprii corespunzătoare pentru riscul de poziție aferent titlurilor de capital deținute în portofoliul de tranzacționare și tratate conform abordării standardizate.</w:t>
            </w:r>
          </w:p>
        </w:tc>
        <w:tc>
          <w:tcPr>
            <w:tcW w:w="1418" w:type="dxa"/>
          </w:tcPr>
          <w:p w14:paraId="7E2A4195" w14:textId="77029308"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622DFB9" w14:textId="77777777" w:rsidR="00C907F3" w:rsidRPr="00A24080" w:rsidRDefault="00C907F3" w:rsidP="0028208B">
            <w:pPr>
              <w:jc w:val="both"/>
              <w:rPr>
                <w:bCs/>
                <w:sz w:val="22"/>
                <w:szCs w:val="22"/>
                <w:lang w:val="ro-RO"/>
              </w:rPr>
            </w:pPr>
          </w:p>
        </w:tc>
      </w:tr>
      <w:tr w:rsidR="00C907F3" w:rsidRPr="00EE7DB0" w14:paraId="4F05566C" w14:textId="77777777" w:rsidTr="0028208B">
        <w:tc>
          <w:tcPr>
            <w:tcW w:w="5143" w:type="dxa"/>
          </w:tcPr>
          <w:p w14:paraId="535BB2EE" w14:textId="67254EFC" w:rsidR="00C907F3" w:rsidRPr="00A24080" w:rsidRDefault="00C907F3" w:rsidP="0028208B">
            <w:pPr>
              <w:ind w:right="90"/>
              <w:jc w:val="both"/>
              <w:rPr>
                <w:sz w:val="22"/>
                <w:szCs w:val="22"/>
                <w:lang w:val="ro-RO"/>
              </w:rPr>
            </w:pPr>
            <w:r w:rsidRPr="00A24080">
              <w:rPr>
                <w:sz w:val="22"/>
                <w:szCs w:val="22"/>
                <w:lang w:val="ro-RO"/>
              </w:rPr>
              <w:t>170.</w:t>
            </w:r>
            <w:r w:rsidRPr="00A24080">
              <w:rPr>
                <w:sz w:val="22"/>
                <w:szCs w:val="22"/>
                <w:lang w:val="ro-RO"/>
              </w:rPr>
              <w:tab/>
              <w:t xml:space="preserve"> Formularul trebuie completat separat pentru «Total», precum și pentru o listă statică prestabilită cuprinzând piețele următoare: Bulgaria, Republica Cehă, Danemarca, Egipt, Ungaria, Islanda, </w:t>
            </w:r>
            <w:r w:rsidRPr="00A24080">
              <w:rPr>
                <w:sz w:val="22"/>
                <w:szCs w:val="22"/>
                <w:lang w:val="ro-RO"/>
              </w:rPr>
              <w:lastRenderedPageBreak/>
              <w:t>Liechtenstein, Norvegia, Polonia, România, Suedia, Regatul Unit, Albania, Japonia, fosta Republică iugoslavă a Macedoniei, Federația Rusă, Serbia, Elveția, Turcia, Ucraina, SUA, zona euro, precum și un formular rezidual pentru toate celelalte piețe. În sensul prezentei cerințe de raportare, termenul «piață» are înțelesul de «țară» [cu excepția țărilor din zona euro, a se vedea Regulamentul delegat (UE) nr. 525/2014 al Comisiei ].</w:t>
            </w:r>
          </w:p>
        </w:tc>
        <w:tc>
          <w:tcPr>
            <w:tcW w:w="5103" w:type="dxa"/>
          </w:tcPr>
          <w:p w14:paraId="7FEC26A7" w14:textId="0214FC81" w:rsidR="00C907F3" w:rsidRPr="00A24080" w:rsidRDefault="006526DB" w:rsidP="0028208B">
            <w:pPr>
              <w:ind w:right="90"/>
              <w:jc w:val="both"/>
              <w:rPr>
                <w:sz w:val="22"/>
                <w:szCs w:val="22"/>
                <w:lang w:val="ro-RO"/>
              </w:rPr>
            </w:pPr>
            <w:r w:rsidRPr="00A24080">
              <w:rPr>
                <w:sz w:val="22"/>
                <w:szCs w:val="22"/>
                <w:lang w:val="ro-RO"/>
              </w:rPr>
              <w:lastRenderedPageBreak/>
              <w:t>13</w:t>
            </w:r>
            <w:r w:rsidR="00C907F3" w:rsidRPr="00A24080">
              <w:rPr>
                <w:sz w:val="22"/>
                <w:szCs w:val="22"/>
                <w:lang w:val="ro-RO"/>
              </w:rPr>
              <w:t>.</w:t>
            </w:r>
            <w:r w:rsidR="00C907F3" w:rsidRPr="00A24080">
              <w:rPr>
                <w:sz w:val="22"/>
                <w:szCs w:val="22"/>
                <w:lang w:val="ro-RO"/>
              </w:rPr>
              <w:tab/>
              <w:t xml:space="preserve"> Formularul trebuie completat separat pentru «Total», precum și pentru o listă statică prestabilită cuprinzând piețele următoare: Bulgaria, Republica Cehă, Danemarca, Egipt, Ungaria, Islanda, </w:t>
            </w:r>
            <w:r w:rsidR="00C907F3" w:rsidRPr="00A24080">
              <w:rPr>
                <w:sz w:val="22"/>
                <w:szCs w:val="22"/>
                <w:lang w:val="ro-RO"/>
              </w:rPr>
              <w:lastRenderedPageBreak/>
              <w:t xml:space="preserve">Liechtenstein, </w:t>
            </w:r>
            <w:r w:rsidR="0034024B" w:rsidRPr="00A24080">
              <w:rPr>
                <w:sz w:val="22"/>
                <w:szCs w:val="22"/>
                <w:lang w:val="ro-RO"/>
              </w:rPr>
              <w:t xml:space="preserve">Republica Moldova, </w:t>
            </w:r>
            <w:r w:rsidR="00C907F3" w:rsidRPr="00A24080">
              <w:rPr>
                <w:sz w:val="22"/>
                <w:szCs w:val="22"/>
                <w:lang w:val="ro-RO"/>
              </w:rPr>
              <w:t xml:space="preserve">Norvegia, Polonia, România, Suedia, Regatul Unit, Albania, Japonia, fosta Republică iugoslavă a Macedoniei, Federația Rusă, Serbia, Elveția, Turcia, Ucraina, SUA, zona euro, precum și un formular rezidual pentru toate celelalte piețe. În sensul prezentei cerințe de raportare, termenul «piață» are înțelesul de «țară» [cu excepția țărilor din zona euro, a se vedea </w:t>
            </w:r>
            <w:r w:rsidRPr="00A24080">
              <w:rPr>
                <w:sz w:val="22"/>
                <w:szCs w:val="22"/>
                <w:lang w:val="ro-RO"/>
              </w:rPr>
              <w:t>pct.469 din Regulamentul nr.XX/2026</w:t>
            </w:r>
            <w:r w:rsidR="00C907F3" w:rsidRPr="00A24080">
              <w:rPr>
                <w:sz w:val="22"/>
                <w:szCs w:val="22"/>
                <w:lang w:val="ro-RO"/>
              </w:rPr>
              <w:t xml:space="preserve"> ].</w:t>
            </w:r>
            <w:r w:rsidR="009A3975" w:rsidRPr="00EE7DB0">
              <w:rPr>
                <w:lang w:val="ro-RO"/>
              </w:rPr>
              <w:t xml:space="preserve"> </w:t>
            </w:r>
            <w:r w:rsidR="009A3975" w:rsidRPr="009A3975">
              <w:rPr>
                <w:sz w:val="22"/>
                <w:szCs w:val="22"/>
                <w:lang w:val="ro-RO"/>
              </w:rPr>
              <w:t>Piețele enumerate vor fi raportate doar în cazul în care se conțin date aferente acestora în perioada de raportare, iar formularul rezidual care acoperă toate celelalte piețe se va raporta de fiecare dată, cu indicarea „Alte” în secțiunea formularului intitulată „Piața națională”.</w:t>
            </w:r>
          </w:p>
        </w:tc>
        <w:tc>
          <w:tcPr>
            <w:tcW w:w="1418" w:type="dxa"/>
          </w:tcPr>
          <w:p w14:paraId="2193DED7" w14:textId="71D1C93D" w:rsidR="00C907F3"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0D88F7C" w14:textId="7C94C342" w:rsidR="00C907F3" w:rsidRPr="00A24080" w:rsidRDefault="00DA642B" w:rsidP="0028208B">
            <w:pPr>
              <w:jc w:val="both"/>
              <w:rPr>
                <w:sz w:val="22"/>
                <w:szCs w:val="22"/>
                <w:lang w:val="ro-RO"/>
              </w:rPr>
            </w:pPr>
            <w:r w:rsidRPr="00A24080">
              <w:rPr>
                <w:sz w:val="22"/>
                <w:szCs w:val="22"/>
                <w:lang w:val="ro-RO"/>
              </w:rPr>
              <w:t>Lista piețelor pentru care formularul trebuie să fie completat a fost completată cu Republica Moldova.</w:t>
            </w:r>
            <w:r w:rsidR="009A3975" w:rsidRPr="00EE7DB0">
              <w:rPr>
                <w:lang w:val="it-IT"/>
              </w:rPr>
              <w:t xml:space="preserve"> </w:t>
            </w:r>
            <w:r w:rsidR="009A3975" w:rsidRPr="009A3975">
              <w:rPr>
                <w:sz w:val="22"/>
                <w:szCs w:val="22"/>
                <w:lang w:val="ro-RO"/>
              </w:rPr>
              <w:t xml:space="preserve">Ținând cont de faptul că multe dintre </w:t>
            </w:r>
            <w:r w:rsidR="009A3975">
              <w:rPr>
                <w:sz w:val="22"/>
                <w:szCs w:val="22"/>
                <w:lang w:val="ro-RO"/>
              </w:rPr>
              <w:lastRenderedPageBreak/>
              <w:t>piețele</w:t>
            </w:r>
            <w:r w:rsidR="009A3975" w:rsidRPr="009A3975">
              <w:rPr>
                <w:sz w:val="22"/>
                <w:szCs w:val="22"/>
                <w:lang w:val="ro-RO"/>
              </w:rPr>
              <w:t xml:space="preserve"> enumerate în listă nu sunt uzuale pentru tranzacțiile băncilor </w:t>
            </w:r>
            <w:r w:rsidR="009A3975">
              <w:rPr>
                <w:sz w:val="22"/>
                <w:szCs w:val="22"/>
                <w:lang w:val="ro-RO"/>
              </w:rPr>
              <w:t>di</w:t>
            </w:r>
            <w:r w:rsidR="009A3975" w:rsidRPr="009A3975">
              <w:rPr>
                <w:sz w:val="22"/>
                <w:szCs w:val="22"/>
                <w:lang w:val="ro-RO"/>
              </w:rPr>
              <w:t>n R.M, iar fixarea acestor formulare care urmează a fi raportate fără date (</w:t>
            </w:r>
            <w:r w:rsidR="009A3975">
              <w:rPr>
                <w:sz w:val="22"/>
                <w:szCs w:val="22"/>
                <w:lang w:val="ro-RO"/>
              </w:rPr>
              <w:t>piețe</w:t>
            </w:r>
            <w:r w:rsidR="009A3975" w:rsidRPr="009A3975">
              <w:rPr>
                <w:sz w:val="22"/>
                <w:szCs w:val="22"/>
                <w:lang w:val="ro-RO"/>
              </w:rPr>
              <w:t xml:space="preserve"> neutilizate) ar putea îngreuna analiza datelor din raport, s-a considerat oportun de a specifica că  </w:t>
            </w:r>
            <w:r w:rsidR="009A3975">
              <w:rPr>
                <w:sz w:val="22"/>
                <w:szCs w:val="22"/>
                <w:lang w:val="ro-RO"/>
              </w:rPr>
              <w:t>piețele</w:t>
            </w:r>
            <w:r w:rsidR="009A3975" w:rsidRPr="009A3975">
              <w:rPr>
                <w:sz w:val="22"/>
                <w:szCs w:val="22"/>
                <w:lang w:val="ro-RO"/>
              </w:rPr>
              <w:t xml:space="preserve"> enumerate vor fi raportate doar în cazul în care se conțin date aferente acestora în perioada de raportare.</w:t>
            </w:r>
          </w:p>
        </w:tc>
      </w:tr>
      <w:tr w:rsidR="00C907F3" w:rsidRPr="00A24080" w14:paraId="1BDA6021" w14:textId="77777777" w:rsidTr="0028208B">
        <w:tc>
          <w:tcPr>
            <w:tcW w:w="5143" w:type="dxa"/>
          </w:tcPr>
          <w:p w14:paraId="0AF67EC7" w14:textId="69C4BDB5" w:rsidR="00C907F3" w:rsidRPr="00A24080" w:rsidRDefault="00C907F3" w:rsidP="0028208B">
            <w:pPr>
              <w:ind w:right="90"/>
              <w:jc w:val="both"/>
              <w:rPr>
                <w:sz w:val="22"/>
                <w:szCs w:val="22"/>
                <w:lang w:val="ro-RO"/>
              </w:rPr>
            </w:pPr>
            <w:r w:rsidRPr="00A24080">
              <w:rPr>
                <w:sz w:val="22"/>
                <w:szCs w:val="22"/>
                <w:lang w:val="ro-RO"/>
              </w:rPr>
              <w:lastRenderedPageBreak/>
              <w:t>5.4.2.</w:t>
            </w:r>
            <w:r w:rsidRPr="00A24080">
              <w:rPr>
                <w:sz w:val="22"/>
                <w:szCs w:val="22"/>
                <w:lang w:val="ro-RO"/>
              </w:rPr>
              <w:tab/>
              <w:t>Instrucțiuni privind anumite poziții</w:t>
            </w:r>
          </w:p>
        </w:tc>
        <w:tc>
          <w:tcPr>
            <w:tcW w:w="5103" w:type="dxa"/>
          </w:tcPr>
          <w:p w14:paraId="2D6A5E21" w14:textId="7819BCB3" w:rsidR="00C907F3" w:rsidRPr="00A24080" w:rsidRDefault="00C907F3" w:rsidP="0028208B">
            <w:pPr>
              <w:ind w:right="90"/>
              <w:jc w:val="both"/>
              <w:rPr>
                <w:sz w:val="22"/>
                <w:szCs w:val="22"/>
                <w:lang w:val="ro-RO"/>
              </w:rPr>
            </w:pPr>
            <w:r w:rsidRPr="00A24080">
              <w:rPr>
                <w:sz w:val="22"/>
                <w:szCs w:val="22"/>
                <w:lang w:val="ro-RO"/>
              </w:rPr>
              <w:tab/>
              <w:t>Instrucțiuni privind anumite poziții</w:t>
            </w:r>
          </w:p>
        </w:tc>
        <w:tc>
          <w:tcPr>
            <w:tcW w:w="1418" w:type="dxa"/>
          </w:tcPr>
          <w:p w14:paraId="64A9D68D" w14:textId="3703121F"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298D2C3" w14:textId="77777777" w:rsidR="00C907F3" w:rsidRPr="00A24080" w:rsidRDefault="00C907F3" w:rsidP="0028208B">
            <w:pPr>
              <w:jc w:val="both"/>
              <w:rPr>
                <w:bCs/>
                <w:sz w:val="22"/>
                <w:szCs w:val="22"/>
                <w:lang w:val="ro-RO"/>
              </w:rPr>
            </w:pPr>
          </w:p>
        </w:tc>
      </w:tr>
      <w:tr w:rsidR="00C907F3" w:rsidRPr="00A24080" w14:paraId="7E257A40"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907F3" w:rsidRPr="00A24080" w14:paraId="68828E0E" w14:textId="77777777" w:rsidTr="00C907F3">
              <w:tc>
                <w:tcPr>
                  <w:tcW w:w="4917" w:type="dxa"/>
                  <w:gridSpan w:val="2"/>
                  <w:shd w:val="clear" w:color="auto" w:fill="D0CECE" w:themeFill="background2" w:themeFillShade="E6"/>
                </w:tcPr>
                <w:p w14:paraId="661C58AB" w14:textId="47632FE1" w:rsidR="00C907F3" w:rsidRPr="00A24080" w:rsidRDefault="00C907F3"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C907F3" w:rsidRPr="00EE7DB0" w14:paraId="144D2172" w14:textId="77777777" w:rsidTr="00C907F3">
              <w:tc>
                <w:tcPr>
                  <w:tcW w:w="1056" w:type="dxa"/>
                </w:tcPr>
                <w:p w14:paraId="7390AB8A" w14:textId="2012CE35"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tcPr>
                <w:p w14:paraId="0C7D7D6E" w14:textId="77777777" w:rsidR="00C907F3" w:rsidRPr="00A24080" w:rsidRDefault="00C907F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4541A4F3" w14:textId="77777777" w:rsidR="00C907F3" w:rsidRPr="00A24080" w:rsidRDefault="00C907F3"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Articolul 102 și articolul 105 alineatul (1) din Regulamentul (UE) nr. 575/2013. </w:t>
                  </w:r>
                </w:p>
                <w:p w14:paraId="1011C206" w14:textId="0261DCC4"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lang w:val="it-IT"/>
                    </w:rPr>
                    <w:t xml:space="preserve">Acestea sunt poziții brute, necompensate cu instrumente, excluzând însă pozițiile aferente angajamentelor de preluare fermă subscrise sau subangajate de către terțe părți menționate la articolul 345 alineatul (1) primul paragraf a doua teză din Regulamentul (UE) nr. 575/2013. </w:t>
                  </w:r>
                </w:p>
              </w:tc>
            </w:tr>
          </w:tbl>
          <w:p w14:paraId="419DD895" w14:textId="77777777" w:rsidR="00C907F3" w:rsidRPr="00A24080" w:rsidRDefault="00C907F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907F3" w:rsidRPr="00A24080" w14:paraId="4FD0C8D3" w14:textId="77777777" w:rsidTr="003146FA">
              <w:tc>
                <w:tcPr>
                  <w:tcW w:w="4917" w:type="dxa"/>
                  <w:gridSpan w:val="2"/>
                  <w:shd w:val="clear" w:color="auto" w:fill="D0CECE" w:themeFill="background2" w:themeFillShade="E6"/>
                </w:tcPr>
                <w:p w14:paraId="66D68C49" w14:textId="77777777" w:rsidR="00C907F3" w:rsidRPr="00A24080" w:rsidRDefault="00C907F3"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C907F3" w:rsidRPr="00EE7DB0" w14:paraId="01F9C125" w14:textId="77777777" w:rsidTr="003146FA">
              <w:tc>
                <w:tcPr>
                  <w:tcW w:w="1056" w:type="dxa"/>
                </w:tcPr>
                <w:p w14:paraId="17B52D9B" w14:textId="7777777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tcPr>
                <w:p w14:paraId="1CA35CD1" w14:textId="77777777" w:rsidR="00C907F3" w:rsidRPr="00A24080" w:rsidRDefault="00C907F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422C78AB" w14:textId="47DA0EFC" w:rsidR="00C907F3" w:rsidRPr="00A24080" w:rsidRDefault="0091121C"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Titlul II capitolul III secțiunea 1 </w:t>
                  </w:r>
                  <w:r w:rsidR="00C907F3" w:rsidRPr="00A24080">
                    <w:rPr>
                      <w:sz w:val="22"/>
                      <w:szCs w:val="22"/>
                      <w:lang w:val="it-IT"/>
                    </w:rPr>
                    <w:t xml:space="preserve">și </w:t>
                  </w:r>
                  <w:r w:rsidR="004A4A39" w:rsidRPr="00A24080">
                    <w:rPr>
                      <w:sz w:val="22"/>
                      <w:szCs w:val="22"/>
                      <w:lang w:val="it-IT"/>
                    </w:rPr>
                    <w:t xml:space="preserve">pct.41 </w:t>
                  </w:r>
                  <w:r w:rsidR="00C907F3" w:rsidRPr="00A24080">
                    <w:rPr>
                      <w:sz w:val="22"/>
                      <w:szCs w:val="22"/>
                      <w:lang w:val="it-IT"/>
                    </w:rPr>
                    <w:t xml:space="preserve">din Regulamentul </w:t>
                  </w:r>
                  <w:r w:rsidR="004A4A39" w:rsidRPr="00A24080">
                    <w:rPr>
                      <w:sz w:val="22"/>
                      <w:szCs w:val="22"/>
                      <w:lang w:val="it-IT"/>
                    </w:rPr>
                    <w:t>nr.XX/2026</w:t>
                  </w:r>
                  <w:r w:rsidR="00C907F3" w:rsidRPr="00A24080">
                    <w:rPr>
                      <w:sz w:val="22"/>
                      <w:szCs w:val="22"/>
                      <w:lang w:val="it-IT"/>
                    </w:rPr>
                    <w:t xml:space="preserve">. </w:t>
                  </w:r>
                </w:p>
                <w:p w14:paraId="3F1E218C" w14:textId="56386714"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lang w:val="it-IT"/>
                    </w:rPr>
                    <w:t xml:space="preserve">Acestea sunt poziții brute, necompensate cu instrumente, excluzând însă pozițiile aferente angajamentelor de preluare fermă subscrise sau subangajate de către terțe părți menționate la </w:t>
                  </w:r>
                  <w:r w:rsidR="003176FD" w:rsidRPr="00A24080">
                    <w:rPr>
                      <w:sz w:val="22"/>
                      <w:szCs w:val="22"/>
                      <w:lang w:val="it-IT"/>
                    </w:rPr>
                    <w:t>pct.475 din Regulamentul nr.XX/2026</w:t>
                  </w:r>
                  <w:r w:rsidRPr="00A24080">
                    <w:rPr>
                      <w:sz w:val="22"/>
                      <w:szCs w:val="22"/>
                      <w:lang w:val="it-IT"/>
                    </w:rPr>
                    <w:t xml:space="preserve">. </w:t>
                  </w:r>
                </w:p>
              </w:tc>
            </w:tr>
          </w:tbl>
          <w:p w14:paraId="5F8AA644" w14:textId="77777777" w:rsidR="00C907F3" w:rsidRPr="00A24080" w:rsidRDefault="00C907F3" w:rsidP="0028208B">
            <w:pPr>
              <w:ind w:right="90"/>
              <w:jc w:val="both"/>
              <w:rPr>
                <w:sz w:val="22"/>
                <w:szCs w:val="22"/>
                <w:lang w:val="ro-RO"/>
              </w:rPr>
            </w:pPr>
          </w:p>
        </w:tc>
        <w:tc>
          <w:tcPr>
            <w:tcW w:w="1418" w:type="dxa"/>
          </w:tcPr>
          <w:p w14:paraId="65196C3F" w14:textId="4CACE84F"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B5A9C28" w14:textId="77777777" w:rsidR="00C907F3" w:rsidRPr="00A24080" w:rsidRDefault="00C907F3" w:rsidP="0028208B">
            <w:pPr>
              <w:jc w:val="both"/>
              <w:rPr>
                <w:bCs/>
                <w:sz w:val="22"/>
                <w:szCs w:val="22"/>
                <w:lang w:val="ro-RO"/>
              </w:rPr>
            </w:pPr>
          </w:p>
        </w:tc>
      </w:tr>
      <w:tr w:rsidR="00C907F3" w:rsidRPr="00A24080" w14:paraId="3FAC5FF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5B64F80E" w14:textId="77777777" w:rsidTr="003146FA">
              <w:tc>
                <w:tcPr>
                  <w:tcW w:w="1056" w:type="dxa"/>
                </w:tcPr>
                <w:p w14:paraId="1D5811BF" w14:textId="780A1711" w:rsidR="00C907F3" w:rsidRPr="00A24080" w:rsidRDefault="00C907F3" w:rsidP="0028208B">
                  <w:pPr>
                    <w:framePr w:hSpace="180" w:wrap="around" w:vAnchor="text" w:hAnchor="text" w:x="-612" w:y="1"/>
                    <w:ind w:right="90"/>
                    <w:suppressOverlap/>
                    <w:jc w:val="both"/>
                    <w:rPr>
                      <w:sz w:val="22"/>
                      <w:szCs w:val="22"/>
                      <w:lang w:val="ro-RO"/>
                    </w:rPr>
                  </w:pPr>
                  <w:proofErr w:type="gramStart"/>
                  <w:r w:rsidRPr="00A24080">
                    <w:rPr>
                      <w:sz w:val="22"/>
                      <w:szCs w:val="22"/>
                    </w:rPr>
                    <w:t>0030-0040</w:t>
                  </w:r>
                  <w:proofErr w:type="gramEnd"/>
                  <w:r w:rsidRPr="00A24080">
                    <w:rPr>
                      <w:sz w:val="22"/>
                      <w:szCs w:val="22"/>
                    </w:rPr>
                    <w:t xml:space="preserve"> </w:t>
                  </w:r>
                </w:p>
              </w:tc>
              <w:tc>
                <w:tcPr>
                  <w:tcW w:w="3861" w:type="dxa"/>
                </w:tcPr>
                <w:p w14:paraId="3623EA95" w14:textId="77777777" w:rsidR="00C907F3" w:rsidRPr="00A24080" w:rsidRDefault="00C907F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56AD8F72" w14:textId="1AEB287A"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lang w:val="pt-BR"/>
                    </w:rPr>
                    <w:t xml:space="preserve">Articolele 327, 329, 332, 341 și 345 din Regulamentul (UE) nr. 575/2013. </w:t>
                  </w:r>
                </w:p>
              </w:tc>
            </w:tr>
          </w:tbl>
          <w:p w14:paraId="5FA4539F" w14:textId="77777777" w:rsidR="00C907F3" w:rsidRPr="00A24080" w:rsidRDefault="00C907F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63201295" w14:textId="77777777" w:rsidTr="003146FA">
              <w:tc>
                <w:tcPr>
                  <w:tcW w:w="1056" w:type="dxa"/>
                </w:tcPr>
                <w:p w14:paraId="65734E47" w14:textId="77777777" w:rsidR="00C907F3" w:rsidRPr="00A24080" w:rsidRDefault="00C907F3" w:rsidP="0028208B">
                  <w:pPr>
                    <w:framePr w:hSpace="180" w:wrap="around" w:vAnchor="text" w:hAnchor="text" w:x="-612" w:y="1"/>
                    <w:ind w:right="90"/>
                    <w:suppressOverlap/>
                    <w:jc w:val="both"/>
                    <w:rPr>
                      <w:sz w:val="22"/>
                      <w:szCs w:val="22"/>
                      <w:lang w:val="ro-RO"/>
                    </w:rPr>
                  </w:pPr>
                  <w:proofErr w:type="gramStart"/>
                  <w:r w:rsidRPr="00A24080">
                    <w:rPr>
                      <w:sz w:val="22"/>
                      <w:szCs w:val="22"/>
                    </w:rPr>
                    <w:t>0030-0040</w:t>
                  </w:r>
                  <w:proofErr w:type="gramEnd"/>
                  <w:r w:rsidRPr="00A24080">
                    <w:rPr>
                      <w:sz w:val="22"/>
                      <w:szCs w:val="22"/>
                    </w:rPr>
                    <w:t xml:space="preserve"> </w:t>
                  </w:r>
                </w:p>
              </w:tc>
              <w:tc>
                <w:tcPr>
                  <w:tcW w:w="3861" w:type="dxa"/>
                </w:tcPr>
                <w:p w14:paraId="138EEF96" w14:textId="77777777" w:rsidR="00C907F3" w:rsidRPr="00A24080" w:rsidRDefault="00C907F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6D8A0649" w14:textId="1E4196C9" w:rsidR="00C907F3" w:rsidRPr="00A24080" w:rsidRDefault="003A748F" w:rsidP="0028208B">
                  <w:pPr>
                    <w:framePr w:hSpace="180" w:wrap="around" w:vAnchor="text" w:hAnchor="text" w:x="-612" w:y="1"/>
                    <w:ind w:right="90"/>
                    <w:suppressOverlap/>
                    <w:jc w:val="both"/>
                    <w:rPr>
                      <w:sz w:val="22"/>
                      <w:szCs w:val="22"/>
                      <w:lang w:val="ro-RO"/>
                    </w:rPr>
                  </w:pPr>
                  <w:r w:rsidRPr="00A24080">
                    <w:rPr>
                      <w:sz w:val="22"/>
                      <w:szCs w:val="22"/>
                      <w:lang w:val="it-IT"/>
                    </w:rPr>
                    <w:t>Titlul II, capitolul IV secțiunea 1, subsecțiunile 2, 4 și 7 și secțiunea 4</w:t>
                  </w:r>
                  <w:r w:rsidR="00C907F3" w:rsidRPr="00A24080">
                    <w:rPr>
                      <w:sz w:val="22"/>
                      <w:szCs w:val="22"/>
                      <w:lang w:val="it-IT"/>
                    </w:rPr>
                    <w:t xml:space="preserve"> din Regulamentul nr. </w:t>
                  </w:r>
                  <w:r w:rsidR="00DB133B" w:rsidRPr="00A24080">
                    <w:rPr>
                      <w:sz w:val="22"/>
                      <w:szCs w:val="22"/>
                      <w:lang w:val="it-IT"/>
                    </w:rPr>
                    <w:t>XX/2026</w:t>
                  </w:r>
                  <w:r w:rsidR="00C907F3" w:rsidRPr="00A24080">
                    <w:rPr>
                      <w:sz w:val="22"/>
                      <w:szCs w:val="22"/>
                      <w:lang w:val="it-IT"/>
                    </w:rPr>
                    <w:t xml:space="preserve">. </w:t>
                  </w:r>
                </w:p>
              </w:tc>
            </w:tr>
          </w:tbl>
          <w:p w14:paraId="3E28D98C" w14:textId="77777777" w:rsidR="00C907F3" w:rsidRPr="00A24080" w:rsidRDefault="00C907F3" w:rsidP="0028208B">
            <w:pPr>
              <w:ind w:right="90"/>
              <w:rPr>
                <w:sz w:val="22"/>
                <w:szCs w:val="22"/>
                <w:lang w:val="ro-RO"/>
              </w:rPr>
            </w:pPr>
          </w:p>
        </w:tc>
        <w:tc>
          <w:tcPr>
            <w:tcW w:w="1418" w:type="dxa"/>
          </w:tcPr>
          <w:p w14:paraId="402EA115" w14:textId="6829F66F"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7E67892" w14:textId="77777777" w:rsidR="00C907F3" w:rsidRPr="00A24080" w:rsidRDefault="00C907F3" w:rsidP="0028208B">
            <w:pPr>
              <w:jc w:val="both"/>
              <w:rPr>
                <w:bCs/>
                <w:sz w:val="22"/>
                <w:szCs w:val="22"/>
                <w:lang w:val="ro-RO"/>
              </w:rPr>
            </w:pPr>
          </w:p>
        </w:tc>
      </w:tr>
      <w:tr w:rsidR="00C907F3" w:rsidRPr="00A24080" w14:paraId="6B242BB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373A99E0" w14:textId="77777777" w:rsidTr="003146FA">
              <w:tc>
                <w:tcPr>
                  <w:tcW w:w="1056" w:type="dxa"/>
                </w:tcPr>
                <w:p w14:paraId="4B8D23A7" w14:textId="0400B21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0050</w:t>
                  </w:r>
                </w:p>
              </w:tc>
              <w:tc>
                <w:tcPr>
                  <w:tcW w:w="3861" w:type="dxa"/>
                </w:tcPr>
                <w:p w14:paraId="29BCD12E" w14:textId="77777777" w:rsidR="00C907F3" w:rsidRPr="00A24080" w:rsidRDefault="00C907F3" w:rsidP="0028208B">
                  <w:pPr>
                    <w:framePr w:hSpace="180" w:wrap="around" w:vAnchor="text" w:hAnchor="text" w:x="-612" w:y="1"/>
                    <w:tabs>
                      <w:tab w:val="left" w:pos="5795"/>
                    </w:tabs>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4BB1ADB9" w14:textId="77777777" w:rsidR="00C907F3" w:rsidRPr="00A24080" w:rsidRDefault="00C907F3"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lastRenderedPageBreak/>
                    <w:t>Pozițiile nete care, în conformitate cu diferitele abordări avute în vedere în partea a treia titlul IV capitolul 2 din Regulamentul (UE) nr. 575/2013, sunt supuse unei cerințe de capital. Cerința de capital trebuie să fie calculată separat pentru fiecare piață națională. Pozițiile pe contracte futures pe indici bursieri menționate la articolul 344 alineatul (4) a doua teză din Regulamentul (UE) nr. 575/2013 nu se includ în această coloană.</w:t>
                  </w:r>
                </w:p>
                <w:p w14:paraId="009D8D19" w14:textId="77777777" w:rsidR="00C907F3" w:rsidRPr="00A24080" w:rsidRDefault="00C907F3" w:rsidP="0028208B">
                  <w:pPr>
                    <w:framePr w:hSpace="180" w:wrap="around" w:vAnchor="text" w:hAnchor="text" w:x="-612" w:y="1"/>
                    <w:ind w:right="90"/>
                    <w:suppressOverlap/>
                    <w:jc w:val="both"/>
                    <w:rPr>
                      <w:sz w:val="22"/>
                      <w:szCs w:val="22"/>
                      <w:lang w:val="ro-RO"/>
                    </w:rPr>
                  </w:pPr>
                </w:p>
              </w:tc>
            </w:tr>
          </w:tbl>
          <w:p w14:paraId="5097A7EF" w14:textId="77777777" w:rsidR="00C907F3" w:rsidRPr="00A24080" w:rsidRDefault="00C907F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4950C2CD" w14:textId="77777777" w:rsidTr="003146FA">
              <w:tc>
                <w:tcPr>
                  <w:tcW w:w="1056" w:type="dxa"/>
                </w:tcPr>
                <w:p w14:paraId="6075C5E7" w14:textId="7777777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lastRenderedPageBreak/>
                    <w:t>0050</w:t>
                  </w:r>
                </w:p>
              </w:tc>
              <w:tc>
                <w:tcPr>
                  <w:tcW w:w="3861" w:type="dxa"/>
                </w:tcPr>
                <w:p w14:paraId="21361EB7" w14:textId="77777777" w:rsidR="00C907F3" w:rsidRPr="00A24080" w:rsidRDefault="00C907F3" w:rsidP="0028208B">
                  <w:pPr>
                    <w:framePr w:hSpace="180" w:wrap="around" w:vAnchor="text" w:hAnchor="text" w:x="-612" w:y="1"/>
                    <w:tabs>
                      <w:tab w:val="left" w:pos="5795"/>
                    </w:tabs>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570DD928" w14:textId="60777135"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 xml:space="preserve">Pozițiile nete care, în conformitate cu diferitele abordări avute în vedere în </w:t>
                  </w:r>
                  <w:r w:rsidR="00DB133B" w:rsidRPr="00A24080">
                    <w:rPr>
                      <w:sz w:val="22"/>
                      <w:szCs w:val="22"/>
                      <w:lang w:val="ro-RO"/>
                    </w:rPr>
                    <w:t xml:space="preserve">titlul II capitolul IV </w:t>
                  </w:r>
                  <w:r w:rsidRPr="00A24080">
                    <w:rPr>
                      <w:sz w:val="22"/>
                      <w:szCs w:val="22"/>
                      <w:lang w:val="ro-RO"/>
                    </w:rPr>
                    <w:t>din Regulamentul nr. </w:t>
                  </w:r>
                  <w:r w:rsidR="00DB133B" w:rsidRPr="00A24080">
                    <w:rPr>
                      <w:sz w:val="22"/>
                      <w:szCs w:val="22"/>
                      <w:lang w:val="ro-RO"/>
                    </w:rPr>
                    <w:t>XX/2026</w:t>
                  </w:r>
                  <w:r w:rsidRPr="00A24080">
                    <w:rPr>
                      <w:sz w:val="22"/>
                      <w:szCs w:val="22"/>
                      <w:lang w:val="ro-RO"/>
                    </w:rPr>
                    <w:t xml:space="preserve">, sunt supuse unei cerințe de capital. Cerința de capital trebuie să fie calculată separat pentru fiecare piață națională. Pozițiile pe contracte futures pe indici bursieri menționate la </w:t>
                  </w:r>
                  <w:r w:rsidR="00DB133B" w:rsidRPr="00A24080">
                    <w:rPr>
                      <w:sz w:val="22"/>
                      <w:szCs w:val="22"/>
                      <w:lang w:val="ro-RO"/>
                    </w:rPr>
                    <w:t>pct.474 propoziția a doua</w:t>
                  </w:r>
                  <w:r w:rsidRPr="00A24080">
                    <w:rPr>
                      <w:sz w:val="22"/>
                      <w:szCs w:val="22"/>
                      <w:lang w:val="ro-RO"/>
                    </w:rPr>
                    <w:t xml:space="preserve"> din Regulamentul  nr. </w:t>
                  </w:r>
                  <w:r w:rsidR="00DB133B" w:rsidRPr="00A24080">
                    <w:rPr>
                      <w:sz w:val="22"/>
                      <w:szCs w:val="22"/>
                      <w:lang w:val="ro-RO"/>
                    </w:rPr>
                    <w:t>XX/2026</w:t>
                  </w:r>
                  <w:r w:rsidRPr="00A24080">
                    <w:rPr>
                      <w:sz w:val="22"/>
                      <w:szCs w:val="22"/>
                      <w:lang w:val="ro-RO"/>
                    </w:rPr>
                    <w:t xml:space="preserve"> nu se includ în această coloană.</w:t>
                  </w:r>
                </w:p>
              </w:tc>
            </w:tr>
          </w:tbl>
          <w:p w14:paraId="65124B3F" w14:textId="77777777" w:rsidR="00C907F3" w:rsidRPr="00A24080" w:rsidRDefault="00C907F3" w:rsidP="0028208B">
            <w:pPr>
              <w:ind w:right="90"/>
              <w:rPr>
                <w:sz w:val="22"/>
                <w:szCs w:val="22"/>
                <w:lang w:val="ro-RO"/>
              </w:rPr>
            </w:pPr>
          </w:p>
        </w:tc>
        <w:tc>
          <w:tcPr>
            <w:tcW w:w="1418" w:type="dxa"/>
          </w:tcPr>
          <w:p w14:paraId="09DD9E69" w14:textId="50DCE728" w:rsidR="00C907F3"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1612D28D" w14:textId="77777777" w:rsidR="00C907F3" w:rsidRPr="00A24080" w:rsidRDefault="00C907F3" w:rsidP="0028208B">
            <w:pPr>
              <w:jc w:val="both"/>
              <w:rPr>
                <w:bCs/>
                <w:sz w:val="22"/>
                <w:szCs w:val="22"/>
                <w:lang w:val="ro-RO"/>
              </w:rPr>
            </w:pPr>
          </w:p>
        </w:tc>
      </w:tr>
      <w:tr w:rsidR="00C907F3" w:rsidRPr="00A24080" w14:paraId="0F94DB3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529529C1" w14:textId="77777777" w:rsidTr="003146FA">
              <w:tc>
                <w:tcPr>
                  <w:tcW w:w="1056" w:type="dxa"/>
                </w:tcPr>
                <w:p w14:paraId="5E2DFD24" w14:textId="27321ED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tcPr>
                <w:p w14:paraId="48D5E510" w14:textId="77777777" w:rsidR="00C907F3" w:rsidRPr="00A24080" w:rsidRDefault="00C907F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50C1712D" w14:textId="77777777" w:rsidR="00C907F3" w:rsidRPr="00A24080" w:rsidRDefault="00C907F3" w:rsidP="0028208B">
                  <w:pPr>
                    <w:framePr w:hSpace="180" w:wrap="around" w:vAnchor="text" w:hAnchor="text" w:x="-612" w:y="1"/>
                    <w:suppressAutoHyphens/>
                    <w:autoSpaceDE w:val="0"/>
                    <w:autoSpaceDN w:val="0"/>
                    <w:adjustRightInd w:val="0"/>
                    <w:suppressOverlap/>
                    <w:jc w:val="both"/>
                    <w:rPr>
                      <w:sz w:val="22"/>
                      <w:szCs w:val="22"/>
                      <w:lang w:val="pt-BR"/>
                    </w:rPr>
                  </w:pPr>
                  <w:r w:rsidRPr="00A24080">
                    <w:rPr>
                      <w:sz w:val="22"/>
                      <w:szCs w:val="22"/>
                      <w:lang w:val="pt-BR"/>
                    </w:rPr>
                    <w:t>Cerința de fonduri proprii în conformitate cu partea a treia titlul IV capitolul 2 din Regulamentul (UE) nr. 575/2013 pentru orice poziție relevantă, înainte de aplicarea factorilor de multiplicare prevăzuți la articolul 325 alineatul (2) litera (a) punctul (ii) din regulamentul respectiv.</w:t>
                  </w:r>
                </w:p>
                <w:p w14:paraId="2555406C" w14:textId="77777777" w:rsidR="00C907F3" w:rsidRPr="00A24080" w:rsidRDefault="00C907F3" w:rsidP="0028208B">
                  <w:pPr>
                    <w:framePr w:hSpace="180" w:wrap="around" w:vAnchor="text" w:hAnchor="text" w:x="-612" w:y="1"/>
                    <w:ind w:right="90"/>
                    <w:suppressOverlap/>
                    <w:jc w:val="both"/>
                    <w:rPr>
                      <w:sz w:val="22"/>
                      <w:szCs w:val="22"/>
                      <w:lang w:val="ro-RO"/>
                    </w:rPr>
                  </w:pPr>
                </w:p>
              </w:tc>
            </w:tr>
          </w:tbl>
          <w:p w14:paraId="0A7E9B3D" w14:textId="77777777" w:rsidR="00C907F3" w:rsidRPr="00A24080" w:rsidRDefault="00C907F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542EF932" w14:textId="77777777" w:rsidTr="003146FA">
              <w:tc>
                <w:tcPr>
                  <w:tcW w:w="1056" w:type="dxa"/>
                </w:tcPr>
                <w:p w14:paraId="3A4E0232" w14:textId="7777777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tcPr>
                <w:p w14:paraId="5DB71C31" w14:textId="77777777" w:rsidR="00C907F3" w:rsidRPr="00A24080" w:rsidRDefault="00C907F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54C17072" w14:textId="253355C7" w:rsidR="00C907F3" w:rsidRPr="00A24080" w:rsidRDefault="00C907F3" w:rsidP="0028208B">
                  <w:pPr>
                    <w:framePr w:hSpace="180" w:wrap="around" w:vAnchor="text" w:hAnchor="text" w:x="-612" w:y="1"/>
                    <w:suppressAutoHyphens/>
                    <w:autoSpaceDE w:val="0"/>
                    <w:autoSpaceDN w:val="0"/>
                    <w:adjustRightInd w:val="0"/>
                    <w:suppressOverlap/>
                    <w:jc w:val="both"/>
                    <w:rPr>
                      <w:sz w:val="22"/>
                      <w:szCs w:val="22"/>
                      <w:lang w:val="pt-BR"/>
                    </w:rPr>
                  </w:pPr>
                  <w:r w:rsidRPr="00A24080">
                    <w:rPr>
                      <w:sz w:val="22"/>
                      <w:szCs w:val="22"/>
                      <w:lang w:val="pt-BR"/>
                    </w:rPr>
                    <w:t xml:space="preserve">Cerința de fonduri proprii în conformitate cu </w:t>
                  </w:r>
                  <w:r w:rsidR="00D61DB7" w:rsidRPr="00A24080">
                    <w:rPr>
                      <w:sz w:val="22"/>
                      <w:szCs w:val="22"/>
                      <w:lang w:val="ro-RO"/>
                    </w:rPr>
                    <w:t xml:space="preserve">titlul II capitolul IV </w:t>
                  </w:r>
                  <w:r w:rsidRPr="00A24080">
                    <w:rPr>
                      <w:sz w:val="22"/>
                      <w:szCs w:val="22"/>
                      <w:lang w:val="pt-BR"/>
                    </w:rPr>
                    <w:t xml:space="preserve">din Regulamentul  nr. </w:t>
                  </w:r>
                  <w:r w:rsidR="00D61DB7" w:rsidRPr="00A24080">
                    <w:rPr>
                      <w:sz w:val="22"/>
                      <w:szCs w:val="22"/>
                      <w:lang w:val="pt-BR"/>
                    </w:rPr>
                    <w:t>XX/2026</w:t>
                  </w:r>
                  <w:r w:rsidRPr="00A24080">
                    <w:rPr>
                      <w:sz w:val="22"/>
                      <w:szCs w:val="22"/>
                      <w:lang w:val="pt-BR"/>
                    </w:rPr>
                    <w:t xml:space="preserve"> pentru orice poziție relevantă, înainte de aplicarea factorilor de multiplicare prevăzuți la </w:t>
                  </w:r>
                  <w:r w:rsidR="00645B20" w:rsidRPr="00A24080">
                    <w:rPr>
                      <w:sz w:val="22"/>
                      <w:szCs w:val="22"/>
                      <w:lang w:val="pt-BR"/>
                    </w:rPr>
                    <w:t>subpct.71.1.2</w:t>
                  </w:r>
                  <w:r w:rsidRPr="00A24080">
                    <w:rPr>
                      <w:sz w:val="22"/>
                      <w:szCs w:val="22"/>
                      <w:lang w:val="pt-BR"/>
                    </w:rPr>
                    <w:t xml:space="preserve"> din regulamentul respectiv.</w:t>
                  </w:r>
                </w:p>
                <w:p w14:paraId="1C03ADCB" w14:textId="77777777" w:rsidR="00C907F3" w:rsidRPr="00A24080" w:rsidRDefault="00C907F3" w:rsidP="0028208B">
                  <w:pPr>
                    <w:framePr w:hSpace="180" w:wrap="around" w:vAnchor="text" w:hAnchor="text" w:x="-612" w:y="1"/>
                    <w:ind w:right="90"/>
                    <w:suppressOverlap/>
                    <w:jc w:val="both"/>
                    <w:rPr>
                      <w:sz w:val="22"/>
                      <w:szCs w:val="22"/>
                      <w:lang w:val="ro-RO"/>
                    </w:rPr>
                  </w:pPr>
                </w:p>
              </w:tc>
            </w:tr>
          </w:tbl>
          <w:p w14:paraId="36161D32" w14:textId="77777777" w:rsidR="00C907F3" w:rsidRPr="00A24080" w:rsidRDefault="00C907F3" w:rsidP="0028208B">
            <w:pPr>
              <w:ind w:right="90"/>
              <w:rPr>
                <w:sz w:val="22"/>
                <w:szCs w:val="22"/>
                <w:lang w:val="ro-RO"/>
              </w:rPr>
            </w:pPr>
          </w:p>
        </w:tc>
        <w:tc>
          <w:tcPr>
            <w:tcW w:w="1418" w:type="dxa"/>
          </w:tcPr>
          <w:p w14:paraId="096ADD2F" w14:textId="184127CB" w:rsidR="00C907F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3B41BA1" w14:textId="77777777" w:rsidR="00C907F3" w:rsidRPr="00A24080" w:rsidRDefault="00C907F3" w:rsidP="0028208B">
            <w:pPr>
              <w:jc w:val="both"/>
              <w:rPr>
                <w:bCs/>
                <w:sz w:val="22"/>
                <w:szCs w:val="22"/>
                <w:lang w:val="ro-RO"/>
              </w:rPr>
            </w:pPr>
          </w:p>
        </w:tc>
      </w:tr>
      <w:tr w:rsidR="00C907F3" w:rsidRPr="00EE7DB0" w14:paraId="73AF3B7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503C8C37" w14:textId="77777777" w:rsidTr="003146FA">
              <w:tc>
                <w:tcPr>
                  <w:tcW w:w="1056" w:type="dxa"/>
                </w:tcPr>
                <w:p w14:paraId="3F6FA5A2" w14:textId="57F1E9A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769D94A4" w14:textId="77777777" w:rsidR="00C907F3" w:rsidRPr="00A24080" w:rsidRDefault="00C907F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165C43C7" w14:textId="77777777" w:rsidR="00C907F3" w:rsidRPr="00A24080" w:rsidRDefault="00C907F3" w:rsidP="0028208B">
                  <w:pPr>
                    <w:framePr w:hSpace="180" w:wrap="around" w:vAnchor="text" w:hAnchor="text" w:x="-612" w:y="1"/>
                    <w:tabs>
                      <w:tab w:val="left" w:pos="1665"/>
                    </w:tabs>
                    <w:suppressAutoHyphens/>
                    <w:autoSpaceDE w:val="0"/>
                    <w:autoSpaceDN w:val="0"/>
                    <w:adjustRightInd w:val="0"/>
                    <w:suppressOverlap/>
                    <w:jc w:val="both"/>
                    <w:rPr>
                      <w:sz w:val="22"/>
                      <w:szCs w:val="22"/>
                      <w:lang w:val="it-IT"/>
                    </w:rPr>
                  </w:pPr>
                  <w:r w:rsidRPr="00A24080">
                    <w:rPr>
                      <w:sz w:val="22"/>
                      <w:szCs w:val="22"/>
                      <w:lang w:val="it-IT"/>
                    </w:rPr>
                    <w:t xml:space="preserve">Articolul 92 alineatul (4) litera (b) punctul (i) din Regulamentul (UE) nr. 575/2013. </w:t>
                  </w:r>
                </w:p>
                <w:p w14:paraId="39320D7F" w14:textId="6CA0E7DB"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lang w:val="it-IT"/>
                    </w:rPr>
                    <w:t xml:space="preserve">Rezultatul multiplicării cerințelor de fonduri proprii cu 12,5 în conformitate cu articolul 92 alineatul (6) litera (b) din Regulamentul (UE) nr. 575/2013 și cu factorul de multiplicare în conformitate </w:t>
                  </w:r>
                  <w:r w:rsidRPr="00A24080">
                    <w:rPr>
                      <w:sz w:val="22"/>
                      <w:szCs w:val="22"/>
                      <w:lang w:val="it-IT"/>
                    </w:rPr>
                    <w:lastRenderedPageBreak/>
                    <w:t>cu articolul 325 alineatul (2) litera (a) punctul (ii) din regulamentul respectiv.</w:t>
                  </w:r>
                </w:p>
              </w:tc>
            </w:tr>
          </w:tbl>
          <w:p w14:paraId="705143DF" w14:textId="77777777" w:rsidR="00C907F3" w:rsidRPr="00A24080" w:rsidRDefault="00C907F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C907F3" w:rsidRPr="00EE7DB0" w14:paraId="2811038F" w14:textId="77777777" w:rsidTr="003146FA">
              <w:tc>
                <w:tcPr>
                  <w:tcW w:w="1056" w:type="dxa"/>
                </w:tcPr>
                <w:p w14:paraId="291AD2B3" w14:textId="77777777"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rPr>
                    <w:lastRenderedPageBreak/>
                    <w:t>0070</w:t>
                  </w:r>
                </w:p>
              </w:tc>
              <w:tc>
                <w:tcPr>
                  <w:tcW w:w="3861" w:type="dxa"/>
                </w:tcPr>
                <w:p w14:paraId="0511E736" w14:textId="77777777" w:rsidR="00C907F3" w:rsidRPr="00A24080" w:rsidRDefault="00C907F3"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1ADFAF5A" w14:textId="50D394F1" w:rsidR="00C907F3" w:rsidRPr="00A24080" w:rsidRDefault="009064E0" w:rsidP="0028208B">
                  <w:pPr>
                    <w:framePr w:hSpace="180" w:wrap="around" w:vAnchor="text" w:hAnchor="text" w:x="-612" w:y="1"/>
                    <w:tabs>
                      <w:tab w:val="left" w:pos="1665"/>
                    </w:tabs>
                    <w:suppressAutoHyphens/>
                    <w:autoSpaceDE w:val="0"/>
                    <w:autoSpaceDN w:val="0"/>
                    <w:adjustRightInd w:val="0"/>
                    <w:suppressOverlap/>
                    <w:jc w:val="both"/>
                    <w:rPr>
                      <w:sz w:val="22"/>
                      <w:szCs w:val="22"/>
                      <w:lang w:val="en-US"/>
                    </w:rPr>
                  </w:pPr>
                  <w:r w:rsidRPr="00A24080">
                    <w:rPr>
                      <w:sz w:val="22"/>
                      <w:szCs w:val="22"/>
                      <w:lang w:val="en-US"/>
                    </w:rPr>
                    <w:t>Pct.132 subpct.1) din Regulamentul nr.109/2018</w:t>
                  </w:r>
                  <w:r w:rsidR="00C907F3" w:rsidRPr="00A24080">
                    <w:rPr>
                      <w:sz w:val="22"/>
                      <w:szCs w:val="22"/>
                      <w:lang w:val="en-US"/>
                    </w:rPr>
                    <w:t xml:space="preserve">. </w:t>
                  </w:r>
                </w:p>
                <w:p w14:paraId="1256D408" w14:textId="4A65B8D8" w:rsidR="00C907F3" w:rsidRPr="00A24080" w:rsidRDefault="00C907F3" w:rsidP="0028208B">
                  <w:pPr>
                    <w:framePr w:hSpace="180" w:wrap="around" w:vAnchor="text" w:hAnchor="text" w:x="-612" w:y="1"/>
                    <w:ind w:right="90"/>
                    <w:suppressOverlap/>
                    <w:jc w:val="both"/>
                    <w:rPr>
                      <w:sz w:val="22"/>
                      <w:szCs w:val="22"/>
                      <w:lang w:val="ro-RO"/>
                    </w:rPr>
                  </w:pPr>
                  <w:r w:rsidRPr="00A24080">
                    <w:rPr>
                      <w:sz w:val="22"/>
                      <w:szCs w:val="22"/>
                      <w:lang w:val="en-US"/>
                    </w:rPr>
                    <w:t xml:space="preserve">Rezultatul multiplicării cerințelor de fonduri proprii cu </w:t>
                  </w:r>
                  <w:r w:rsidR="004205A6" w:rsidRPr="00A24080">
                    <w:rPr>
                      <w:sz w:val="22"/>
                      <w:szCs w:val="22"/>
                      <w:lang w:val="en-US"/>
                    </w:rPr>
                    <w:t>10,0</w:t>
                  </w:r>
                  <w:r w:rsidRPr="00A24080">
                    <w:rPr>
                      <w:sz w:val="22"/>
                      <w:szCs w:val="22"/>
                      <w:lang w:val="en-US"/>
                    </w:rPr>
                    <w:t xml:space="preserve"> în conformitate cu </w:t>
                  </w:r>
                  <w:r w:rsidR="00645B20" w:rsidRPr="00A24080">
                    <w:rPr>
                      <w:sz w:val="22"/>
                      <w:szCs w:val="22"/>
                      <w:lang w:val="en-US"/>
                    </w:rPr>
                    <w:t>pct.133</w:t>
                  </w:r>
                  <w:r w:rsidR="00FF6D39" w:rsidRPr="00A24080">
                    <w:rPr>
                      <w:sz w:val="22"/>
                      <w:szCs w:val="22"/>
                      <w:lang w:val="en-US"/>
                    </w:rPr>
                    <w:t xml:space="preserve"> subpct.2)</w:t>
                  </w:r>
                  <w:r w:rsidRPr="00A24080">
                    <w:rPr>
                      <w:sz w:val="22"/>
                      <w:szCs w:val="22"/>
                      <w:lang w:val="en-US"/>
                    </w:rPr>
                    <w:t xml:space="preserve"> din </w:t>
                  </w:r>
                  <w:proofErr w:type="gramStart"/>
                  <w:r w:rsidRPr="00A24080">
                    <w:rPr>
                      <w:sz w:val="22"/>
                      <w:szCs w:val="22"/>
                      <w:lang w:val="en-US"/>
                    </w:rPr>
                    <w:t>Regulamentul  nr</w:t>
                  </w:r>
                  <w:proofErr w:type="gramEnd"/>
                  <w:r w:rsidRPr="00A24080">
                    <w:rPr>
                      <w:sz w:val="22"/>
                      <w:szCs w:val="22"/>
                      <w:lang w:val="en-US"/>
                    </w:rPr>
                    <w:t xml:space="preserve">. </w:t>
                  </w:r>
                  <w:r w:rsidR="00645B20" w:rsidRPr="00A24080">
                    <w:rPr>
                      <w:sz w:val="22"/>
                      <w:szCs w:val="22"/>
                      <w:lang w:val="en-US"/>
                    </w:rPr>
                    <w:t>109/2018</w:t>
                  </w:r>
                  <w:r w:rsidRPr="00A24080">
                    <w:rPr>
                      <w:sz w:val="22"/>
                      <w:szCs w:val="22"/>
                      <w:lang w:val="en-US"/>
                    </w:rPr>
                    <w:t xml:space="preserve"> și cu factorul de multiplicare în conformitate cu </w:t>
                  </w:r>
                  <w:r w:rsidR="00645B20" w:rsidRPr="00A24080">
                    <w:rPr>
                      <w:sz w:val="22"/>
                      <w:szCs w:val="22"/>
                      <w:lang w:val="en-US"/>
                    </w:rPr>
                    <w:lastRenderedPageBreak/>
                    <w:t>subpct.71.1.</w:t>
                  </w:r>
                  <w:proofErr w:type="gramStart"/>
                  <w:r w:rsidR="00645B20" w:rsidRPr="00A24080">
                    <w:rPr>
                      <w:sz w:val="22"/>
                      <w:szCs w:val="22"/>
                      <w:lang w:val="en-US"/>
                    </w:rPr>
                    <w:t xml:space="preserve">2 </w:t>
                  </w:r>
                  <w:r w:rsidRPr="00A24080">
                    <w:rPr>
                      <w:sz w:val="22"/>
                      <w:szCs w:val="22"/>
                      <w:lang w:val="en-US"/>
                    </w:rPr>
                    <w:t xml:space="preserve"> din</w:t>
                  </w:r>
                  <w:proofErr w:type="gramEnd"/>
                  <w:r w:rsidRPr="00A24080">
                    <w:rPr>
                      <w:sz w:val="22"/>
                      <w:szCs w:val="22"/>
                      <w:lang w:val="en-US"/>
                    </w:rPr>
                    <w:t xml:space="preserve"> </w:t>
                  </w:r>
                  <w:r w:rsidR="00645B20" w:rsidRPr="00A24080">
                    <w:rPr>
                      <w:sz w:val="22"/>
                      <w:szCs w:val="22"/>
                      <w:lang w:val="en-US"/>
                    </w:rPr>
                    <w:t>R</w:t>
                  </w:r>
                  <w:r w:rsidRPr="00A24080">
                    <w:rPr>
                      <w:sz w:val="22"/>
                      <w:szCs w:val="22"/>
                      <w:lang w:val="en-US"/>
                    </w:rPr>
                    <w:t xml:space="preserve">egulamentul </w:t>
                  </w:r>
                  <w:r w:rsidR="00645B20" w:rsidRPr="00A24080">
                    <w:rPr>
                      <w:sz w:val="22"/>
                      <w:szCs w:val="22"/>
                      <w:lang w:val="en-US"/>
                    </w:rPr>
                    <w:t>nr.XX/2026</w:t>
                  </w:r>
                  <w:r w:rsidRPr="00A24080">
                    <w:rPr>
                      <w:sz w:val="22"/>
                      <w:szCs w:val="22"/>
                      <w:lang w:val="en-US"/>
                    </w:rPr>
                    <w:t>.</w:t>
                  </w:r>
                </w:p>
              </w:tc>
            </w:tr>
          </w:tbl>
          <w:p w14:paraId="78A5BD6A" w14:textId="77777777" w:rsidR="00C907F3" w:rsidRPr="00A24080" w:rsidRDefault="00C907F3" w:rsidP="0028208B">
            <w:pPr>
              <w:ind w:right="90"/>
              <w:rPr>
                <w:sz w:val="22"/>
                <w:szCs w:val="22"/>
                <w:lang w:val="ro-RO"/>
              </w:rPr>
            </w:pPr>
          </w:p>
        </w:tc>
        <w:tc>
          <w:tcPr>
            <w:tcW w:w="1418" w:type="dxa"/>
          </w:tcPr>
          <w:p w14:paraId="09609202" w14:textId="1C93FE70" w:rsidR="00C907F3" w:rsidRPr="00A24080" w:rsidRDefault="00565ADE"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2A51F363" w14:textId="77777777" w:rsidR="00A754B2" w:rsidRPr="00A24080" w:rsidRDefault="00A754B2" w:rsidP="0028208B">
            <w:pPr>
              <w:jc w:val="both"/>
              <w:rPr>
                <w:sz w:val="22"/>
                <w:szCs w:val="22"/>
                <w:lang w:val="ro-MD"/>
              </w:rPr>
            </w:pPr>
            <w:r w:rsidRPr="00A24080">
              <w:rPr>
                <w:sz w:val="22"/>
                <w:szCs w:val="22"/>
                <w:lang w:val="ro-RO"/>
              </w:rPr>
              <w:t>Până la data intrării în vigoare a Tratatului de aderare a Republicii Moldova la Uniunea Europeană în scopul calculului cuantumului expunerii la risc se aplică multiplicatorul cerințelor de fonduri proprii 10,0 (conform prevederilor Regulamentului nr.109/2018).</w:t>
            </w:r>
            <w:r w:rsidRPr="00A24080">
              <w:rPr>
                <w:rFonts w:eastAsiaTheme="minorHAnsi" w:cstheme="minorBidi"/>
                <w:kern w:val="2"/>
                <w:sz w:val="22"/>
                <w:szCs w:val="22"/>
                <w:lang w:val="ro-RO" w:eastAsia="en-US"/>
              </w:rPr>
              <w:t xml:space="preserve"> </w:t>
            </w:r>
            <w:r w:rsidRPr="00A24080">
              <w:rPr>
                <w:sz w:val="22"/>
                <w:szCs w:val="22"/>
                <w:lang w:val="ro-RO"/>
              </w:rPr>
              <w:t xml:space="preserve">De la data intrării în vigoare a Tratatului de aderare a Republicii Moldova la Uniunea Europeană băncile vor </w:t>
            </w:r>
            <w:r w:rsidRPr="00A24080">
              <w:rPr>
                <w:sz w:val="22"/>
                <w:szCs w:val="22"/>
                <w:lang w:val="ro-RO"/>
              </w:rPr>
              <w:lastRenderedPageBreak/>
              <w:t>multiplica cerințele de fonduri proprii cu 12,5.</w:t>
            </w:r>
          </w:p>
          <w:p w14:paraId="58CE0C00" w14:textId="77777777" w:rsidR="00C907F3" w:rsidRPr="00A24080" w:rsidRDefault="00C907F3" w:rsidP="0028208B">
            <w:pPr>
              <w:jc w:val="both"/>
              <w:rPr>
                <w:bCs/>
                <w:sz w:val="22"/>
                <w:szCs w:val="22"/>
                <w:lang w:val="ro-MD"/>
              </w:rPr>
            </w:pPr>
          </w:p>
        </w:tc>
      </w:tr>
      <w:tr w:rsidR="00011564" w:rsidRPr="00A24080" w14:paraId="0E5E2DA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011564" w:rsidRPr="00A24080" w14:paraId="241E7C1A" w14:textId="77777777" w:rsidTr="00A5677D">
              <w:tc>
                <w:tcPr>
                  <w:tcW w:w="4917" w:type="dxa"/>
                  <w:gridSpan w:val="2"/>
                  <w:shd w:val="clear" w:color="auto" w:fill="D0CECE" w:themeFill="background2" w:themeFillShade="E6"/>
                </w:tcPr>
                <w:p w14:paraId="64582208" w14:textId="20A35587" w:rsidR="00011564" w:rsidRPr="00A24080" w:rsidRDefault="00011564" w:rsidP="0028208B">
                  <w:pPr>
                    <w:framePr w:hSpace="180" w:wrap="around" w:vAnchor="text" w:hAnchor="text" w:x="-612" w:y="1"/>
                    <w:ind w:right="90"/>
                    <w:suppressOverlap/>
                    <w:jc w:val="both"/>
                    <w:rPr>
                      <w:sz w:val="22"/>
                      <w:szCs w:val="22"/>
                      <w:lang w:val="ro-RO"/>
                    </w:rPr>
                  </w:pPr>
                  <w:r w:rsidRPr="00A24080">
                    <w:rPr>
                      <w:b/>
                      <w:sz w:val="22"/>
                      <w:szCs w:val="22"/>
                      <w:lang w:val="ro-RO" w:eastAsia="en-US"/>
                      <w14:ligatures w14:val="none"/>
                    </w:rPr>
                    <w:lastRenderedPageBreak/>
                    <w:t>Rânduri</w:t>
                  </w:r>
                </w:p>
              </w:tc>
            </w:tr>
            <w:tr w:rsidR="00011564" w:rsidRPr="00EE7DB0" w14:paraId="1A6CBF1F" w14:textId="77777777" w:rsidTr="00A5677D">
              <w:tc>
                <w:tcPr>
                  <w:tcW w:w="1056" w:type="dxa"/>
                </w:tcPr>
                <w:p w14:paraId="408BBA33" w14:textId="3E087060"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lang w:val="ro-RO"/>
                    </w:rPr>
                    <w:t>0010-0130</w:t>
                  </w:r>
                </w:p>
              </w:tc>
              <w:tc>
                <w:tcPr>
                  <w:tcW w:w="3861" w:type="dxa"/>
                </w:tcPr>
                <w:p w14:paraId="64CBF09C" w14:textId="77777777" w:rsidR="00011564" w:rsidRPr="00A24080" w:rsidRDefault="00011564"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TITLURI DE CAPITAL DIN PORTOFOLIUL DE TRANZACȚIONARE</w:t>
                  </w:r>
                </w:p>
                <w:p w14:paraId="4B731EAD" w14:textId="7EDA8A6D"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lang w:val="ro-RO"/>
                    </w:rPr>
                    <w:t>Cerințele de fonduri proprii pentru riscul de poziție, astfel cum sunt menționate la articolul 92 alineatul (4) litera (b) punctul (i) din Regulamentul (UE) nr. 575/2013 și în partea a treia titlul IV capitolul 2 secțiunea 3 din regulamentul respectiv.</w:t>
                  </w:r>
                </w:p>
              </w:tc>
            </w:tr>
          </w:tbl>
          <w:p w14:paraId="17F8BA5F" w14:textId="77777777" w:rsidR="00011564" w:rsidRPr="00A24080" w:rsidRDefault="0001156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011564" w:rsidRPr="00A24080" w14:paraId="6A817221" w14:textId="77777777" w:rsidTr="003146FA">
              <w:tc>
                <w:tcPr>
                  <w:tcW w:w="4917" w:type="dxa"/>
                  <w:gridSpan w:val="2"/>
                  <w:shd w:val="clear" w:color="auto" w:fill="D0CECE" w:themeFill="background2" w:themeFillShade="E6"/>
                </w:tcPr>
                <w:p w14:paraId="2097616E" w14:textId="77777777" w:rsidR="00011564" w:rsidRPr="00A24080" w:rsidRDefault="00011564" w:rsidP="0028208B">
                  <w:pPr>
                    <w:framePr w:hSpace="180" w:wrap="around" w:vAnchor="text" w:hAnchor="text" w:x="-612" w:y="1"/>
                    <w:ind w:right="90"/>
                    <w:suppressOverlap/>
                    <w:jc w:val="both"/>
                    <w:rPr>
                      <w:sz w:val="22"/>
                      <w:szCs w:val="22"/>
                      <w:lang w:val="ro-RO"/>
                    </w:rPr>
                  </w:pPr>
                  <w:r w:rsidRPr="00A24080">
                    <w:rPr>
                      <w:b/>
                      <w:sz w:val="22"/>
                      <w:szCs w:val="22"/>
                      <w:lang w:val="ro-RO" w:eastAsia="en-US"/>
                      <w14:ligatures w14:val="none"/>
                    </w:rPr>
                    <w:t>Rânduri</w:t>
                  </w:r>
                </w:p>
              </w:tc>
            </w:tr>
            <w:tr w:rsidR="00011564" w:rsidRPr="00EE7DB0" w14:paraId="645EED2E" w14:textId="77777777" w:rsidTr="003146FA">
              <w:tc>
                <w:tcPr>
                  <w:tcW w:w="1056" w:type="dxa"/>
                </w:tcPr>
                <w:p w14:paraId="03044C89" w14:textId="77777777"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lang w:val="ro-RO"/>
                    </w:rPr>
                    <w:t>0010-0130</w:t>
                  </w:r>
                </w:p>
              </w:tc>
              <w:tc>
                <w:tcPr>
                  <w:tcW w:w="3861" w:type="dxa"/>
                </w:tcPr>
                <w:p w14:paraId="56F8D080" w14:textId="77777777" w:rsidR="00011564" w:rsidRPr="00A24080" w:rsidRDefault="00011564"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TITLURI DE CAPITAL DIN PORTOFOLIUL DE TRANZACȚIONARE</w:t>
                  </w:r>
                </w:p>
                <w:p w14:paraId="2263A934" w14:textId="75C5BC6D"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lang w:val="ro-RO"/>
                    </w:rPr>
                    <w:t xml:space="preserve">Cerințele de fonduri proprii pentru riscul de poziție, astfel cum sunt menționate la </w:t>
                  </w:r>
                  <w:r w:rsidR="009064E0" w:rsidRPr="00A24080">
                    <w:rPr>
                      <w:sz w:val="22"/>
                      <w:szCs w:val="22"/>
                      <w:lang w:val="ro-RO"/>
                    </w:rPr>
                    <w:t xml:space="preserve">pct.132 subpct.1) din Regulamentul nr.109/2018 </w:t>
                  </w:r>
                  <w:r w:rsidRPr="00A24080">
                    <w:rPr>
                      <w:sz w:val="22"/>
                      <w:szCs w:val="22"/>
                      <w:lang w:val="ro-RO"/>
                    </w:rPr>
                    <w:t xml:space="preserve">și în </w:t>
                  </w:r>
                  <w:r w:rsidR="00D61DB7" w:rsidRPr="00A24080">
                    <w:rPr>
                      <w:sz w:val="22"/>
                      <w:szCs w:val="22"/>
                      <w:lang w:val="ro-RO"/>
                    </w:rPr>
                    <w:t xml:space="preserve">titlul II capitolul IV </w:t>
                  </w:r>
                  <w:r w:rsidRPr="00A24080">
                    <w:rPr>
                      <w:sz w:val="22"/>
                      <w:szCs w:val="22"/>
                      <w:lang w:val="ro-RO"/>
                    </w:rPr>
                    <w:t xml:space="preserve">secțiunea 3 din </w:t>
                  </w:r>
                  <w:r w:rsidR="00D61DB7" w:rsidRPr="00A24080">
                    <w:rPr>
                      <w:sz w:val="22"/>
                      <w:szCs w:val="22"/>
                      <w:lang w:val="ro-RO"/>
                    </w:rPr>
                    <w:t>R</w:t>
                  </w:r>
                  <w:r w:rsidRPr="00A24080">
                    <w:rPr>
                      <w:sz w:val="22"/>
                      <w:szCs w:val="22"/>
                      <w:lang w:val="ro-RO"/>
                    </w:rPr>
                    <w:t xml:space="preserve">egulamentul </w:t>
                  </w:r>
                  <w:r w:rsidR="00D61DB7" w:rsidRPr="00A24080">
                    <w:rPr>
                      <w:sz w:val="22"/>
                      <w:szCs w:val="22"/>
                      <w:lang w:val="ro-RO"/>
                    </w:rPr>
                    <w:t>nr.XX/2026</w:t>
                  </w:r>
                  <w:r w:rsidRPr="00A24080">
                    <w:rPr>
                      <w:sz w:val="22"/>
                      <w:szCs w:val="22"/>
                      <w:lang w:val="ro-RO"/>
                    </w:rPr>
                    <w:t>.</w:t>
                  </w:r>
                </w:p>
              </w:tc>
            </w:tr>
          </w:tbl>
          <w:p w14:paraId="3C129F96" w14:textId="77777777" w:rsidR="00011564" w:rsidRPr="00A24080" w:rsidRDefault="00011564" w:rsidP="0028208B">
            <w:pPr>
              <w:ind w:right="90"/>
              <w:jc w:val="both"/>
              <w:rPr>
                <w:sz w:val="22"/>
                <w:szCs w:val="22"/>
                <w:lang w:val="ro-RO"/>
              </w:rPr>
            </w:pPr>
          </w:p>
        </w:tc>
        <w:tc>
          <w:tcPr>
            <w:tcW w:w="1418" w:type="dxa"/>
          </w:tcPr>
          <w:p w14:paraId="31810580" w14:textId="23DA9DFD" w:rsidR="00011564"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DBCC855" w14:textId="77777777" w:rsidR="00011564" w:rsidRPr="00A24080" w:rsidRDefault="00011564" w:rsidP="0028208B">
            <w:pPr>
              <w:jc w:val="both"/>
              <w:rPr>
                <w:bCs/>
                <w:sz w:val="22"/>
                <w:szCs w:val="22"/>
                <w:lang w:val="ro-RO"/>
              </w:rPr>
            </w:pPr>
          </w:p>
        </w:tc>
      </w:tr>
      <w:tr w:rsidR="00011564" w:rsidRPr="00A24080" w14:paraId="6C34523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011564" w:rsidRPr="00EE7DB0" w14:paraId="2AC3DA8A" w14:textId="77777777" w:rsidTr="003146FA">
              <w:tc>
                <w:tcPr>
                  <w:tcW w:w="1056" w:type="dxa"/>
                </w:tcPr>
                <w:p w14:paraId="3DDBF3F8" w14:textId="0C465C6A"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rPr>
                    <w:t>0020-0040</w:t>
                  </w:r>
                </w:p>
              </w:tc>
              <w:tc>
                <w:tcPr>
                  <w:tcW w:w="3861" w:type="dxa"/>
                </w:tcPr>
                <w:p w14:paraId="0254080F" w14:textId="77777777" w:rsidR="00011564" w:rsidRPr="00A24080" w:rsidRDefault="00011564"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RISC GENERAL</w:t>
                  </w:r>
                </w:p>
                <w:p w14:paraId="6CC5C7BE" w14:textId="77777777" w:rsidR="00011564" w:rsidRPr="00A24080" w:rsidRDefault="00011564"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Pozițiile pe titluri de capital care fac obiectul riscului general [articolul 343 din Regulamentul (UE) nr. 575/2013] și cerințele de fonduri proprii aferente acestora în conformitate cu partea a treia titlul IV capitolul 2 secțiunea 3 din regulamentul respectiv </w:t>
                  </w:r>
                </w:p>
                <w:p w14:paraId="7A8CA8E0" w14:textId="77777777" w:rsidR="00011564" w:rsidRPr="00A24080" w:rsidRDefault="00011564"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Ambele defalcări (rândurile 0021/0022, precum și rândurile 0030/0040) se referă la toate pozițiile care fac obiectul riscului general.</w:t>
                  </w:r>
                </w:p>
                <w:p w14:paraId="01379D07" w14:textId="77777777" w:rsidR="00011564" w:rsidRPr="00A24080" w:rsidRDefault="00011564"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Rândurile 0021 și 0022 solicită informații privind defalcarea pe instrumente. </w:t>
                  </w:r>
                </w:p>
                <w:p w14:paraId="3A2B50B4" w14:textId="4D8FCE90"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lang w:val="it-IT"/>
                    </w:rPr>
                    <w:t>Doar defalcarea de pe rândurile 0030 și 0040 se utilizează ca bază pentru calcularea cerințelor de fonduri proprii.</w:t>
                  </w:r>
                </w:p>
              </w:tc>
            </w:tr>
          </w:tbl>
          <w:p w14:paraId="35FC14B4" w14:textId="77777777" w:rsidR="00011564" w:rsidRPr="00A24080" w:rsidRDefault="0001156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011564" w:rsidRPr="00EE7DB0" w14:paraId="607526F9" w14:textId="77777777" w:rsidTr="003146FA">
              <w:tc>
                <w:tcPr>
                  <w:tcW w:w="1056" w:type="dxa"/>
                </w:tcPr>
                <w:p w14:paraId="28BDEDE1" w14:textId="77777777"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rPr>
                    <w:t>0020-0040</w:t>
                  </w:r>
                </w:p>
              </w:tc>
              <w:tc>
                <w:tcPr>
                  <w:tcW w:w="3861" w:type="dxa"/>
                </w:tcPr>
                <w:p w14:paraId="195BA75C" w14:textId="77777777" w:rsidR="00011564" w:rsidRPr="00A24080" w:rsidRDefault="00011564"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RISC GENERAL</w:t>
                  </w:r>
                </w:p>
                <w:p w14:paraId="6C3026FF" w14:textId="6D5EC590" w:rsidR="00011564" w:rsidRPr="00A24080" w:rsidRDefault="00011564"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Pozițiile pe titluri de capital care fac obiectul riscului general [</w:t>
                  </w:r>
                  <w:r w:rsidR="00803C82" w:rsidRPr="00A24080">
                    <w:rPr>
                      <w:sz w:val="22"/>
                      <w:szCs w:val="22"/>
                      <w:lang w:val="ro-RO"/>
                    </w:rPr>
                    <w:t>pct.471</w:t>
                  </w:r>
                  <w:r w:rsidRPr="00A24080">
                    <w:rPr>
                      <w:sz w:val="22"/>
                      <w:szCs w:val="22"/>
                      <w:lang w:val="ro-RO"/>
                    </w:rPr>
                    <w:t xml:space="preserve"> din Regulamentul  nr. </w:t>
                  </w:r>
                  <w:r w:rsidR="00803C82" w:rsidRPr="00A24080">
                    <w:rPr>
                      <w:sz w:val="22"/>
                      <w:szCs w:val="22"/>
                      <w:lang w:val="ro-RO"/>
                    </w:rPr>
                    <w:t>XX/2026</w:t>
                  </w:r>
                  <w:r w:rsidRPr="00A24080">
                    <w:rPr>
                      <w:sz w:val="22"/>
                      <w:szCs w:val="22"/>
                      <w:lang w:val="ro-RO"/>
                    </w:rPr>
                    <w:t xml:space="preserve">] și cerințele de fonduri proprii aferente acestora în conformitate cu </w:t>
                  </w:r>
                  <w:r w:rsidR="00D61DB7" w:rsidRPr="00A24080">
                    <w:rPr>
                      <w:sz w:val="22"/>
                      <w:szCs w:val="22"/>
                      <w:lang w:val="ro-RO"/>
                    </w:rPr>
                    <w:t>titlul II capitolul IV</w:t>
                  </w:r>
                  <w:r w:rsidRPr="00A24080">
                    <w:rPr>
                      <w:sz w:val="22"/>
                      <w:szCs w:val="22"/>
                      <w:lang w:val="ro-RO"/>
                    </w:rPr>
                    <w:t xml:space="preserve"> secțiunea 3 din regulamentul respectiv </w:t>
                  </w:r>
                </w:p>
                <w:p w14:paraId="0E54F5C8" w14:textId="77777777" w:rsidR="00011564" w:rsidRPr="00A24080" w:rsidRDefault="00011564"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Ambele defalcări (rândurile 0021/0022, precum și rândurile 0030/0040) se referă la toate pozițiile care fac obiectul riscului general.</w:t>
                  </w:r>
                </w:p>
                <w:p w14:paraId="6C65B7EB" w14:textId="77777777" w:rsidR="00011564" w:rsidRPr="00A24080" w:rsidRDefault="00011564"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Rândurile 0021 și 0022 solicită informații privind defalcarea pe instrumente. </w:t>
                  </w:r>
                </w:p>
                <w:p w14:paraId="154DB067" w14:textId="77777777" w:rsidR="00011564" w:rsidRPr="00A24080" w:rsidRDefault="00011564" w:rsidP="0028208B">
                  <w:pPr>
                    <w:framePr w:hSpace="180" w:wrap="around" w:vAnchor="text" w:hAnchor="text" w:x="-612" w:y="1"/>
                    <w:ind w:right="90"/>
                    <w:suppressOverlap/>
                    <w:jc w:val="both"/>
                    <w:rPr>
                      <w:sz w:val="22"/>
                      <w:szCs w:val="22"/>
                      <w:lang w:val="ro-RO"/>
                    </w:rPr>
                  </w:pPr>
                  <w:r w:rsidRPr="00A24080">
                    <w:rPr>
                      <w:sz w:val="22"/>
                      <w:szCs w:val="22"/>
                      <w:lang w:val="it-IT"/>
                    </w:rPr>
                    <w:t>Doar defalcarea de pe rândurile 0030 și 0040 se utilizează ca bază pentru calcularea cerințelor de fonduri proprii.</w:t>
                  </w:r>
                </w:p>
              </w:tc>
            </w:tr>
          </w:tbl>
          <w:p w14:paraId="22B2FD88" w14:textId="77777777" w:rsidR="00011564" w:rsidRPr="00A24080" w:rsidRDefault="00011564" w:rsidP="0028208B">
            <w:pPr>
              <w:ind w:right="90"/>
              <w:rPr>
                <w:sz w:val="22"/>
                <w:szCs w:val="22"/>
                <w:lang w:val="ro-RO"/>
              </w:rPr>
            </w:pPr>
          </w:p>
        </w:tc>
        <w:tc>
          <w:tcPr>
            <w:tcW w:w="1418" w:type="dxa"/>
          </w:tcPr>
          <w:p w14:paraId="47B51077" w14:textId="7076F8F8" w:rsidR="00011564"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84578B4" w14:textId="77777777" w:rsidR="00011564" w:rsidRPr="00A24080" w:rsidRDefault="00011564" w:rsidP="0028208B">
            <w:pPr>
              <w:jc w:val="both"/>
              <w:rPr>
                <w:bCs/>
                <w:sz w:val="22"/>
                <w:szCs w:val="22"/>
                <w:lang w:val="ro-RO"/>
              </w:rPr>
            </w:pPr>
          </w:p>
        </w:tc>
      </w:tr>
      <w:tr w:rsidR="004E1103" w:rsidRPr="00A24080" w14:paraId="65D0CDD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44936C3B" w14:textId="77777777" w:rsidTr="003146FA">
              <w:tc>
                <w:tcPr>
                  <w:tcW w:w="1056" w:type="dxa"/>
                </w:tcPr>
                <w:p w14:paraId="36A3AF1C" w14:textId="7AC18E68"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0021</w:t>
                  </w:r>
                </w:p>
              </w:tc>
              <w:tc>
                <w:tcPr>
                  <w:tcW w:w="3861" w:type="dxa"/>
                </w:tcPr>
                <w:p w14:paraId="6E812649"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sz w:val="22"/>
                      <w:szCs w:val="22"/>
                      <w:u w:val="single"/>
                      <w:lang w:val="ro-RO"/>
                    </w:rPr>
                  </w:pPr>
                  <w:r w:rsidRPr="00A24080">
                    <w:rPr>
                      <w:b/>
                      <w:sz w:val="22"/>
                      <w:szCs w:val="22"/>
                      <w:u w:val="single"/>
                      <w:lang w:val="ro-RO"/>
                    </w:rPr>
                    <w:t>Instrumente financiare derivate</w:t>
                  </w:r>
                </w:p>
                <w:p w14:paraId="408189E2" w14:textId="6BA6BE1F"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ro-RO"/>
                    </w:rPr>
                    <w:t xml:space="preserve">Instrumentele financiare derivate incluse în calculul riscului de devalorizare a </w:t>
                  </w:r>
                  <w:r w:rsidRPr="00A24080">
                    <w:rPr>
                      <w:sz w:val="22"/>
                      <w:szCs w:val="22"/>
                      <w:lang w:val="ro-RO"/>
                    </w:rPr>
                    <w:lastRenderedPageBreak/>
                    <w:t>acțiunilor pentru pozițiile din portofoliul de tranzacționare, ținând cont de articolele 329-332 din Regulamentul (UE) nr. 575/2013, dacă este cazul.</w:t>
                  </w:r>
                </w:p>
              </w:tc>
            </w:tr>
          </w:tbl>
          <w:p w14:paraId="4CBBCB73" w14:textId="77777777" w:rsidR="004E1103" w:rsidRPr="00A24080" w:rsidRDefault="004E110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1821DFC6" w14:textId="77777777" w:rsidTr="003146FA">
              <w:tc>
                <w:tcPr>
                  <w:tcW w:w="1056" w:type="dxa"/>
                </w:tcPr>
                <w:p w14:paraId="6636A847"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lastRenderedPageBreak/>
                    <w:t>0021</w:t>
                  </w:r>
                </w:p>
              </w:tc>
              <w:tc>
                <w:tcPr>
                  <w:tcW w:w="3861" w:type="dxa"/>
                </w:tcPr>
                <w:p w14:paraId="59E2A34D"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sz w:val="22"/>
                      <w:szCs w:val="22"/>
                      <w:u w:val="single"/>
                      <w:lang w:val="ro-RO"/>
                    </w:rPr>
                  </w:pPr>
                  <w:r w:rsidRPr="00A24080">
                    <w:rPr>
                      <w:b/>
                      <w:sz w:val="22"/>
                      <w:szCs w:val="22"/>
                      <w:u w:val="single"/>
                      <w:lang w:val="ro-RO"/>
                    </w:rPr>
                    <w:t>Instrumente financiare derivate</w:t>
                  </w:r>
                </w:p>
                <w:p w14:paraId="669FB64F" w14:textId="6D07F215"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ro-RO"/>
                    </w:rPr>
                    <w:t xml:space="preserve">Instrumentele financiare derivate incluse în calculul riscului de devalorizare a </w:t>
                  </w:r>
                  <w:r w:rsidRPr="00A24080">
                    <w:rPr>
                      <w:sz w:val="22"/>
                      <w:szCs w:val="22"/>
                      <w:lang w:val="ro-RO"/>
                    </w:rPr>
                    <w:lastRenderedPageBreak/>
                    <w:t xml:space="preserve">acțiunilor pentru pozițiile din portofoliul de tranzacționare, ținând cont de </w:t>
                  </w:r>
                  <w:r w:rsidR="00803C82" w:rsidRPr="00A24080">
                    <w:rPr>
                      <w:sz w:val="22"/>
                      <w:szCs w:val="22"/>
                      <w:lang w:val="ro-RO"/>
                    </w:rPr>
                    <w:t>titlul II capitolul IV secțiunea 1 subsecțiunile 4-7</w:t>
                  </w:r>
                  <w:r w:rsidRPr="00A24080">
                    <w:rPr>
                      <w:sz w:val="22"/>
                      <w:szCs w:val="22"/>
                      <w:lang w:val="ro-RO"/>
                    </w:rPr>
                    <w:t xml:space="preserve"> din Regulamentul  nr. </w:t>
                  </w:r>
                  <w:r w:rsidR="00803C82" w:rsidRPr="00A24080">
                    <w:rPr>
                      <w:sz w:val="22"/>
                      <w:szCs w:val="22"/>
                      <w:lang w:val="ro-RO"/>
                    </w:rPr>
                    <w:t>XX/2026</w:t>
                  </w:r>
                  <w:r w:rsidRPr="00A24080">
                    <w:rPr>
                      <w:sz w:val="22"/>
                      <w:szCs w:val="22"/>
                      <w:lang w:val="ro-RO"/>
                    </w:rPr>
                    <w:t>, dacă este cazul.</w:t>
                  </w:r>
                </w:p>
              </w:tc>
            </w:tr>
          </w:tbl>
          <w:p w14:paraId="5B78DEA8" w14:textId="77777777" w:rsidR="004E1103" w:rsidRPr="00A24080" w:rsidRDefault="004E1103" w:rsidP="0028208B">
            <w:pPr>
              <w:ind w:right="90"/>
              <w:rPr>
                <w:sz w:val="22"/>
                <w:szCs w:val="22"/>
                <w:lang w:val="ro-RO"/>
              </w:rPr>
            </w:pPr>
          </w:p>
        </w:tc>
        <w:tc>
          <w:tcPr>
            <w:tcW w:w="1418" w:type="dxa"/>
          </w:tcPr>
          <w:p w14:paraId="4702B1BE" w14:textId="2B376587" w:rsidR="004E1103"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D699047" w14:textId="77777777" w:rsidR="004E1103" w:rsidRPr="00A24080" w:rsidRDefault="004E1103" w:rsidP="0028208B">
            <w:pPr>
              <w:jc w:val="both"/>
              <w:rPr>
                <w:bCs/>
                <w:sz w:val="22"/>
                <w:szCs w:val="22"/>
                <w:lang w:val="ro-RO"/>
              </w:rPr>
            </w:pPr>
          </w:p>
        </w:tc>
      </w:tr>
      <w:tr w:rsidR="004E1103" w:rsidRPr="00A24080" w14:paraId="6F01871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4DD41717" w14:textId="77777777" w:rsidTr="003146FA">
              <w:tc>
                <w:tcPr>
                  <w:tcW w:w="1056" w:type="dxa"/>
                </w:tcPr>
                <w:p w14:paraId="66ABF80F" w14:textId="10AB7705"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0022</w:t>
                  </w:r>
                </w:p>
              </w:tc>
              <w:tc>
                <w:tcPr>
                  <w:tcW w:w="3861" w:type="dxa"/>
                </w:tcPr>
                <w:p w14:paraId="1D01BCC1"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sz w:val="22"/>
                      <w:szCs w:val="22"/>
                      <w:u w:val="single"/>
                      <w:lang w:val="ro-RO"/>
                    </w:rPr>
                  </w:pPr>
                  <w:r w:rsidRPr="00A24080">
                    <w:rPr>
                      <w:b/>
                      <w:sz w:val="22"/>
                      <w:szCs w:val="22"/>
                      <w:u w:val="single"/>
                      <w:lang w:val="ro-RO"/>
                    </w:rPr>
                    <w:t>Alte active și datorii</w:t>
                  </w:r>
                </w:p>
                <w:p w14:paraId="6E58557A" w14:textId="66B30BF5"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ro-RO"/>
                    </w:rPr>
                    <w:t xml:space="preserve">Alte instrumente decât instrumentele financiare derivate incluse în calculul riscului de devalorizare a acțiunilor pentru pozițiile din portofoliul de tranzacționare. </w:t>
                  </w:r>
                </w:p>
              </w:tc>
            </w:tr>
          </w:tbl>
          <w:p w14:paraId="14CF09B5" w14:textId="77777777" w:rsidR="004E1103" w:rsidRPr="00A24080" w:rsidRDefault="004E110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68C8F23B" w14:textId="77777777" w:rsidTr="003146FA">
              <w:tc>
                <w:tcPr>
                  <w:tcW w:w="1056" w:type="dxa"/>
                </w:tcPr>
                <w:p w14:paraId="6692780F"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0022</w:t>
                  </w:r>
                </w:p>
              </w:tc>
              <w:tc>
                <w:tcPr>
                  <w:tcW w:w="3861" w:type="dxa"/>
                </w:tcPr>
                <w:p w14:paraId="1C14BC15"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sz w:val="22"/>
                      <w:szCs w:val="22"/>
                      <w:u w:val="single"/>
                      <w:lang w:val="ro-RO"/>
                    </w:rPr>
                  </w:pPr>
                  <w:r w:rsidRPr="00A24080">
                    <w:rPr>
                      <w:b/>
                      <w:sz w:val="22"/>
                      <w:szCs w:val="22"/>
                      <w:u w:val="single"/>
                      <w:lang w:val="ro-RO"/>
                    </w:rPr>
                    <w:t>Alte active și datorii</w:t>
                  </w:r>
                </w:p>
                <w:p w14:paraId="628022EE"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ro-RO"/>
                    </w:rPr>
                    <w:t xml:space="preserve">Alte instrumente decât instrumentele financiare derivate incluse în calculul riscului de devalorizare a acțiunilor pentru pozițiile din portofoliul de tranzacționare. </w:t>
                  </w:r>
                </w:p>
              </w:tc>
            </w:tr>
          </w:tbl>
          <w:p w14:paraId="65B421F8" w14:textId="77777777" w:rsidR="004E1103" w:rsidRPr="00A24080" w:rsidRDefault="004E1103" w:rsidP="0028208B">
            <w:pPr>
              <w:ind w:right="90"/>
              <w:rPr>
                <w:sz w:val="22"/>
                <w:szCs w:val="22"/>
                <w:lang w:val="ro-RO"/>
              </w:rPr>
            </w:pPr>
          </w:p>
        </w:tc>
        <w:tc>
          <w:tcPr>
            <w:tcW w:w="1418" w:type="dxa"/>
          </w:tcPr>
          <w:p w14:paraId="4A88104B" w14:textId="7CA20FEC"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0E5E7FC" w14:textId="77777777" w:rsidR="004E1103" w:rsidRPr="00A24080" w:rsidRDefault="004E1103" w:rsidP="0028208B">
            <w:pPr>
              <w:jc w:val="both"/>
              <w:rPr>
                <w:bCs/>
                <w:sz w:val="22"/>
                <w:szCs w:val="22"/>
                <w:lang w:val="ro-RO"/>
              </w:rPr>
            </w:pPr>
          </w:p>
        </w:tc>
      </w:tr>
      <w:tr w:rsidR="004E1103" w:rsidRPr="00A24080" w14:paraId="68CE7E2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7D735A7C" w14:textId="77777777" w:rsidTr="003146FA">
              <w:tc>
                <w:tcPr>
                  <w:tcW w:w="1056" w:type="dxa"/>
                </w:tcPr>
                <w:p w14:paraId="707096D7" w14:textId="14619046"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3B7696FD"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Contracte futures pe indici bursieri cu o largă diversificare, tranzacționate la bursă, supuse unei abordări speciale</w:t>
                  </w:r>
                </w:p>
                <w:p w14:paraId="4F8B4EC9" w14:textId="3A6E32C8" w:rsidR="004E1103" w:rsidRPr="00A24080" w:rsidRDefault="004E1103" w:rsidP="0028208B">
                  <w:pPr>
                    <w:framePr w:hSpace="180" w:wrap="around" w:vAnchor="text" w:hAnchor="text" w:x="-612" w:y="1"/>
                    <w:tabs>
                      <w:tab w:val="left" w:pos="1665"/>
                    </w:tabs>
                    <w:suppressAutoHyphens/>
                    <w:autoSpaceDE w:val="0"/>
                    <w:autoSpaceDN w:val="0"/>
                    <w:adjustRightInd w:val="0"/>
                    <w:suppressOverlap/>
                    <w:jc w:val="both"/>
                    <w:rPr>
                      <w:sz w:val="22"/>
                      <w:szCs w:val="22"/>
                      <w:lang w:val="it-IT"/>
                    </w:rPr>
                  </w:pPr>
                  <w:r w:rsidRPr="00A24080">
                    <w:rPr>
                      <w:sz w:val="22"/>
                      <w:szCs w:val="22"/>
                      <w:lang w:val="it-IT"/>
                    </w:rPr>
                    <w:t>Contracte futures pe indici bursieri cu o largă diversificare, tranzacționate la bursă, supuse unei abordări speciale în conformitate cu Regulamentul de punere în aplicare (UE) nr. 945/2014 al Comisiei</w:t>
                  </w:r>
                  <w:r w:rsidR="00A24080">
                    <w:rPr>
                      <w:sz w:val="22"/>
                      <w:szCs w:val="22"/>
                      <w:lang w:val="it-IT"/>
                    </w:rPr>
                    <w:t>.</w:t>
                  </w:r>
                </w:p>
                <w:p w14:paraId="2A57981D" w14:textId="2E5A5DEC"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it-IT"/>
                    </w:rPr>
                    <w:t>Aceste poziții sunt supuse numai riscului general și, în consecință, nu trebuie să fie raportate pe rândul 0050.</w:t>
                  </w:r>
                </w:p>
              </w:tc>
            </w:tr>
          </w:tbl>
          <w:p w14:paraId="531E2708" w14:textId="77777777" w:rsidR="004E1103" w:rsidRPr="00A24080" w:rsidRDefault="004E110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0687A82B" w14:textId="77777777" w:rsidTr="003146FA">
              <w:tc>
                <w:tcPr>
                  <w:tcW w:w="1056" w:type="dxa"/>
                </w:tcPr>
                <w:p w14:paraId="321F03F8"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6AE81456"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Contracte futures pe indici bursieri cu o largă diversificare, tranzacționate la bursă, supuse unei abordări speciale</w:t>
                  </w:r>
                </w:p>
                <w:p w14:paraId="64611FE0" w14:textId="02A75FF0" w:rsidR="004E1103" w:rsidRPr="00A24080" w:rsidRDefault="004E1103" w:rsidP="0028208B">
                  <w:pPr>
                    <w:framePr w:hSpace="180" w:wrap="around" w:vAnchor="text" w:hAnchor="text" w:x="-612" w:y="1"/>
                    <w:tabs>
                      <w:tab w:val="left" w:pos="1665"/>
                    </w:tabs>
                    <w:suppressAutoHyphens/>
                    <w:autoSpaceDE w:val="0"/>
                    <w:autoSpaceDN w:val="0"/>
                    <w:adjustRightInd w:val="0"/>
                    <w:suppressOverlap/>
                    <w:jc w:val="both"/>
                    <w:rPr>
                      <w:sz w:val="22"/>
                      <w:szCs w:val="22"/>
                      <w:lang w:val="it-IT"/>
                    </w:rPr>
                  </w:pPr>
                  <w:r w:rsidRPr="00A24080">
                    <w:rPr>
                      <w:sz w:val="22"/>
                      <w:szCs w:val="22"/>
                      <w:lang w:val="it-IT"/>
                    </w:rPr>
                    <w:t xml:space="preserve">Contracte futures pe indici bursieri cu o largă diversificare, tranzacționate la bursă, supuse unei abordări speciale în conformitate cu </w:t>
                  </w:r>
                  <w:r w:rsidR="00803C82" w:rsidRPr="00A24080">
                    <w:rPr>
                      <w:sz w:val="22"/>
                      <w:szCs w:val="22"/>
                      <w:lang w:val="it-IT"/>
                    </w:rPr>
                    <w:t>anexa nr.6 din Regulamentul nr.XX/2026.</w:t>
                  </w:r>
                </w:p>
                <w:p w14:paraId="7D10BF4B"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it-IT"/>
                    </w:rPr>
                    <w:t>Aceste poziții sunt supuse numai riscului general și, în consecință, nu trebuie să fie raportate pe rândul 0050.</w:t>
                  </w:r>
                </w:p>
              </w:tc>
            </w:tr>
          </w:tbl>
          <w:p w14:paraId="46CC392B" w14:textId="77777777" w:rsidR="004E1103" w:rsidRPr="00A24080" w:rsidRDefault="004E1103" w:rsidP="0028208B">
            <w:pPr>
              <w:ind w:right="90"/>
              <w:rPr>
                <w:sz w:val="22"/>
                <w:szCs w:val="22"/>
                <w:lang w:val="ro-RO"/>
              </w:rPr>
            </w:pPr>
          </w:p>
        </w:tc>
        <w:tc>
          <w:tcPr>
            <w:tcW w:w="1418" w:type="dxa"/>
          </w:tcPr>
          <w:p w14:paraId="23BA099A" w14:textId="7CA5A971"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30F30C3" w14:textId="77777777" w:rsidR="004E1103" w:rsidRPr="00A24080" w:rsidRDefault="004E1103" w:rsidP="0028208B">
            <w:pPr>
              <w:jc w:val="both"/>
              <w:rPr>
                <w:bCs/>
                <w:sz w:val="22"/>
                <w:szCs w:val="22"/>
                <w:lang w:val="ro-RO"/>
              </w:rPr>
            </w:pPr>
          </w:p>
        </w:tc>
      </w:tr>
      <w:tr w:rsidR="004E1103" w:rsidRPr="00A24080" w14:paraId="4E8F4CA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667CA43A" w14:textId="77777777" w:rsidTr="003146FA">
              <w:tc>
                <w:tcPr>
                  <w:tcW w:w="1056" w:type="dxa"/>
                </w:tcPr>
                <w:p w14:paraId="4D6351F7" w14:textId="62C2D21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tcPr>
                <w:p w14:paraId="67029691"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Titluri de capital, altele decât contractele futures pe indici bursieri cu o largă diversificare, tranzacționate la bursă</w:t>
                  </w:r>
                </w:p>
                <w:p w14:paraId="764C4193" w14:textId="69572D30"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it-IT"/>
                    </w:rPr>
                    <w:t xml:space="preserve">Alte poziții pe titluri de capital supuse riscului specific și cerințele de fonduri proprii aferente acestora în conformitate cu articolul 343 din Regulamentul (UE) nr. 575/2013, inclusiv pozițiile pe contracte futures pe indici bursieri tratate </w:t>
                  </w:r>
                  <w:r w:rsidRPr="00A24080">
                    <w:rPr>
                      <w:sz w:val="22"/>
                      <w:szCs w:val="22"/>
                      <w:lang w:val="it-IT"/>
                    </w:rPr>
                    <w:lastRenderedPageBreak/>
                    <w:t>în conformitate cu articolul 344 alineatul (3) din regulamentul respectiv</w:t>
                  </w:r>
                </w:p>
              </w:tc>
            </w:tr>
          </w:tbl>
          <w:p w14:paraId="6289690D" w14:textId="77777777" w:rsidR="004E1103" w:rsidRPr="00A24080" w:rsidRDefault="004E110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72536D70" w14:textId="77777777" w:rsidTr="003146FA">
              <w:tc>
                <w:tcPr>
                  <w:tcW w:w="1056" w:type="dxa"/>
                </w:tcPr>
                <w:p w14:paraId="6AEDC8A5"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lastRenderedPageBreak/>
                    <w:t>0040</w:t>
                  </w:r>
                </w:p>
              </w:tc>
              <w:tc>
                <w:tcPr>
                  <w:tcW w:w="3861" w:type="dxa"/>
                </w:tcPr>
                <w:p w14:paraId="3F374E83"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Titluri de capital, altele decât contractele futures pe indici bursieri cu o largă diversificare, tranzacționate la bursă</w:t>
                  </w:r>
                </w:p>
                <w:p w14:paraId="47CBD912" w14:textId="29B894BC"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it-IT"/>
                    </w:rPr>
                    <w:t xml:space="preserve">Alte poziții pe titluri de capital supuse riscului specific și cerințele de fonduri proprii aferente acestora în conformitate cu </w:t>
                  </w:r>
                  <w:r w:rsidR="00803C82" w:rsidRPr="00A24080">
                    <w:rPr>
                      <w:sz w:val="22"/>
                      <w:szCs w:val="22"/>
                      <w:lang w:val="ro-RO"/>
                    </w:rPr>
                    <w:t xml:space="preserve">pct.471 </w:t>
                  </w:r>
                  <w:r w:rsidRPr="00A24080">
                    <w:rPr>
                      <w:sz w:val="22"/>
                      <w:szCs w:val="22"/>
                      <w:lang w:val="it-IT"/>
                    </w:rPr>
                    <w:t>din Regulamentul  nr. </w:t>
                  </w:r>
                  <w:r w:rsidR="00803C82" w:rsidRPr="00A24080">
                    <w:rPr>
                      <w:sz w:val="22"/>
                      <w:szCs w:val="22"/>
                      <w:lang w:val="it-IT"/>
                    </w:rPr>
                    <w:t>XX/2026</w:t>
                  </w:r>
                  <w:r w:rsidRPr="00A24080">
                    <w:rPr>
                      <w:sz w:val="22"/>
                      <w:szCs w:val="22"/>
                      <w:lang w:val="it-IT"/>
                    </w:rPr>
                    <w:t xml:space="preserve">, inclusiv pozițiile pe contracte futures pe indici bursieri tratate </w:t>
                  </w:r>
                  <w:r w:rsidRPr="00A24080">
                    <w:rPr>
                      <w:sz w:val="22"/>
                      <w:szCs w:val="22"/>
                      <w:lang w:val="it-IT"/>
                    </w:rPr>
                    <w:lastRenderedPageBreak/>
                    <w:t xml:space="preserve">în conformitate cu </w:t>
                  </w:r>
                  <w:r w:rsidR="00797A81" w:rsidRPr="00A24080">
                    <w:rPr>
                      <w:sz w:val="22"/>
                      <w:szCs w:val="22"/>
                      <w:lang w:val="it-IT"/>
                    </w:rPr>
                    <w:t>pct.473</w:t>
                  </w:r>
                  <w:r w:rsidRPr="00A24080">
                    <w:rPr>
                      <w:sz w:val="22"/>
                      <w:szCs w:val="22"/>
                      <w:lang w:val="it-IT"/>
                    </w:rPr>
                    <w:t xml:space="preserve"> din regulamentul respectiv</w:t>
                  </w:r>
                </w:p>
              </w:tc>
            </w:tr>
          </w:tbl>
          <w:p w14:paraId="4C901288" w14:textId="77777777" w:rsidR="004E1103" w:rsidRPr="00A24080" w:rsidRDefault="004E1103" w:rsidP="0028208B">
            <w:pPr>
              <w:ind w:right="90"/>
              <w:rPr>
                <w:sz w:val="22"/>
                <w:szCs w:val="22"/>
                <w:lang w:val="ro-RO"/>
              </w:rPr>
            </w:pPr>
          </w:p>
        </w:tc>
        <w:tc>
          <w:tcPr>
            <w:tcW w:w="1418" w:type="dxa"/>
          </w:tcPr>
          <w:p w14:paraId="4E23BA15" w14:textId="418286F9" w:rsidR="004E1103"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BA686D4" w14:textId="77777777" w:rsidR="004E1103" w:rsidRPr="00A24080" w:rsidRDefault="004E1103" w:rsidP="0028208B">
            <w:pPr>
              <w:jc w:val="both"/>
              <w:rPr>
                <w:bCs/>
                <w:sz w:val="22"/>
                <w:szCs w:val="22"/>
                <w:lang w:val="ro-RO"/>
              </w:rPr>
            </w:pPr>
          </w:p>
        </w:tc>
      </w:tr>
      <w:tr w:rsidR="004E1103" w:rsidRPr="00A24080" w14:paraId="7023FA66"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7305CD64" w14:textId="77777777" w:rsidTr="003146FA">
              <w:tc>
                <w:tcPr>
                  <w:tcW w:w="1056" w:type="dxa"/>
                </w:tcPr>
                <w:p w14:paraId="56B540C7" w14:textId="5E1B3825"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 xml:space="preserve">0050 </w:t>
                  </w:r>
                </w:p>
              </w:tc>
              <w:tc>
                <w:tcPr>
                  <w:tcW w:w="3861" w:type="dxa"/>
                </w:tcPr>
                <w:p w14:paraId="5545C167"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RISC SPECIFIC</w:t>
                  </w:r>
                </w:p>
                <w:p w14:paraId="0282E7DD" w14:textId="70195DB6"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ro-RO"/>
                    </w:rPr>
                    <w:t xml:space="preserve">Pozițiile pe titluri de capital supuse riscului specific și cerințele de fonduri proprii aferente acestora în conformitate cu articolul 342 din Regulamentul (UE) nr. 575/2013, excluzând pozițiile pe contracte futures pe indici bursieri tratate în conformitate cu articolul 344 alineatul (4) a doua teză din regulamentul respectiv </w:t>
                  </w:r>
                </w:p>
              </w:tc>
            </w:tr>
          </w:tbl>
          <w:p w14:paraId="636B7BBE" w14:textId="77777777" w:rsidR="004E1103" w:rsidRPr="00A24080" w:rsidRDefault="004E110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54D9C4D0" w14:textId="77777777" w:rsidTr="003146FA">
              <w:tc>
                <w:tcPr>
                  <w:tcW w:w="1056" w:type="dxa"/>
                </w:tcPr>
                <w:p w14:paraId="1AD1BCF9"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 xml:space="preserve">0050 </w:t>
                  </w:r>
                </w:p>
              </w:tc>
              <w:tc>
                <w:tcPr>
                  <w:tcW w:w="3861" w:type="dxa"/>
                </w:tcPr>
                <w:p w14:paraId="7B4B5C11"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RISC SPECIFIC</w:t>
                  </w:r>
                </w:p>
                <w:p w14:paraId="1518008C" w14:textId="15EE691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ro-RO"/>
                    </w:rPr>
                    <w:t xml:space="preserve">Pozițiile pe titluri de capital supuse riscului specific și cerințele de fonduri proprii aferente acestora în conformitate cu </w:t>
                  </w:r>
                  <w:r w:rsidR="00797A81" w:rsidRPr="00A24080">
                    <w:rPr>
                      <w:sz w:val="22"/>
                      <w:szCs w:val="22"/>
                      <w:lang w:val="ro-RO"/>
                    </w:rPr>
                    <w:t>pct.470</w:t>
                  </w:r>
                  <w:r w:rsidRPr="00A24080">
                    <w:rPr>
                      <w:sz w:val="22"/>
                      <w:szCs w:val="22"/>
                      <w:lang w:val="ro-RO"/>
                    </w:rPr>
                    <w:t xml:space="preserve"> din Regulamentul  nr. </w:t>
                  </w:r>
                  <w:r w:rsidR="00797A81" w:rsidRPr="00A24080">
                    <w:rPr>
                      <w:sz w:val="22"/>
                      <w:szCs w:val="22"/>
                      <w:lang w:val="ro-RO"/>
                    </w:rPr>
                    <w:t>XX/2026</w:t>
                  </w:r>
                  <w:r w:rsidRPr="00A24080">
                    <w:rPr>
                      <w:sz w:val="22"/>
                      <w:szCs w:val="22"/>
                      <w:lang w:val="ro-RO"/>
                    </w:rPr>
                    <w:t xml:space="preserve">, excluzând pozițiile pe contracte futures pe indici bursieri tratate în conformitate cu </w:t>
                  </w:r>
                  <w:r w:rsidR="00797A81" w:rsidRPr="00A24080">
                    <w:rPr>
                      <w:sz w:val="22"/>
                      <w:szCs w:val="22"/>
                      <w:lang w:val="ro-RO"/>
                    </w:rPr>
                    <w:t xml:space="preserve">pct.474 propoziția a doua </w:t>
                  </w:r>
                  <w:r w:rsidRPr="00A24080">
                    <w:rPr>
                      <w:sz w:val="22"/>
                      <w:szCs w:val="22"/>
                      <w:lang w:val="ro-RO"/>
                    </w:rPr>
                    <w:t xml:space="preserve">din regulamentul respectiv </w:t>
                  </w:r>
                </w:p>
              </w:tc>
            </w:tr>
          </w:tbl>
          <w:p w14:paraId="2D770E14" w14:textId="77777777" w:rsidR="004E1103" w:rsidRPr="00A24080" w:rsidRDefault="004E1103" w:rsidP="0028208B">
            <w:pPr>
              <w:ind w:right="90"/>
              <w:rPr>
                <w:sz w:val="22"/>
                <w:szCs w:val="22"/>
                <w:lang w:val="ro-RO"/>
              </w:rPr>
            </w:pPr>
          </w:p>
        </w:tc>
        <w:tc>
          <w:tcPr>
            <w:tcW w:w="1418" w:type="dxa"/>
          </w:tcPr>
          <w:p w14:paraId="4B63EEE1" w14:textId="2A72505B"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3D010DE" w14:textId="77777777" w:rsidR="004E1103" w:rsidRPr="00A24080" w:rsidRDefault="004E1103" w:rsidP="0028208B">
            <w:pPr>
              <w:jc w:val="both"/>
              <w:rPr>
                <w:bCs/>
                <w:sz w:val="22"/>
                <w:szCs w:val="22"/>
                <w:lang w:val="ro-RO"/>
              </w:rPr>
            </w:pPr>
          </w:p>
        </w:tc>
      </w:tr>
      <w:tr w:rsidR="004E1103" w:rsidRPr="00A24080" w14:paraId="09E1FBB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241ED2D3" w14:textId="77777777" w:rsidTr="003146FA">
              <w:tc>
                <w:tcPr>
                  <w:tcW w:w="1056" w:type="dxa"/>
                </w:tcPr>
                <w:p w14:paraId="66C52862" w14:textId="72BB86BB"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090-0130</w:t>
                  </w:r>
                </w:p>
              </w:tc>
              <w:tc>
                <w:tcPr>
                  <w:tcW w:w="3861" w:type="dxa"/>
                </w:tcPr>
                <w:p w14:paraId="0A4E827E"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rStyle w:val="InstructionsTabelleberschrift"/>
                      <w:rFonts w:ascii="Times New Roman" w:hAnsi="Times New Roman"/>
                      <w:sz w:val="22"/>
                      <w:szCs w:val="22"/>
                      <w:lang w:val="it-IT"/>
                    </w:rPr>
                    <w:t>CERINȚE SUPLIMENTARE PENTRU OPȚIUNI (ALTE RISCURI DECÂT RISCUL DELTA)</w:t>
                  </w:r>
                </w:p>
                <w:p w14:paraId="00F0C80F" w14:textId="77777777" w:rsidR="004E1103" w:rsidRPr="00A24080" w:rsidRDefault="004E1103"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Articolul 329 alineatele (2) și (3) din Regulamentul (UE) nr. 575/2013 </w:t>
                  </w:r>
                </w:p>
                <w:p w14:paraId="34AB2107" w14:textId="3037A85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it-IT"/>
                    </w:rPr>
                    <w:t>Cerințele suplimentare pentru opțiuni legate de alte riscuri decât riscul delta se raportează prin metoda utilizată pentru calcularea acestuia.</w:t>
                  </w:r>
                </w:p>
              </w:tc>
            </w:tr>
          </w:tbl>
          <w:p w14:paraId="2A53B1B8" w14:textId="77777777" w:rsidR="004E1103" w:rsidRPr="00A24080" w:rsidRDefault="004E1103"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4E1103" w:rsidRPr="00EE7DB0" w14:paraId="7333EA8D" w14:textId="77777777" w:rsidTr="003146FA">
              <w:tc>
                <w:tcPr>
                  <w:tcW w:w="1056" w:type="dxa"/>
                </w:tcPr>
                <w:p w14:paraId="4160441E"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rPr>
                    <w:t>0090-0130</w:t>
                  </w:r>
                </w:p>
              </w:tc>
              <w:tc>
                <w:tcPr>
                  <w:tcW w:w="3861" w:type="dxa"/>
                </w:tcPr>
                <w:p w14:paraId="25220399" w14:textId="77777777" w:rsidR="004E1103" w:rsidRPr="00A24080" w:rsidRDefault="004E1103"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rStyle w:val="InstructionsTabelleberschrift"/>
                      <w:rFonts w:ascii="Times New Roman" w:hAnsi="Times New Roman"/>
                      <w:sz w:val="22"/>
                      <w:szCs w:val="22"/>
                      <w:lang w:val="it-IT"/>
                    </w:rPr>
                    <w:t>CERINȚE SUPLIMENTARE PENTRU OPȚIUNI (ALTE RISCURI DECÂT RISCUL DELTA)</w:t>
                  </w:r>
                </w:p>
                <w:p w14:paraId="24F0D01D" w14:textId="5919D169" w:rsidR="004E1103" w:rsidRPr="00A24080" w:rsidRDefault="00797A8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Pct.424</w:t>
                  </w:r>
                  <w:r w:rsidR="004E1103" w:rsidRPr="00A24080">
                    <w:rPr>
                      <w:sz w:val="22"/>
                      <w:szCs w:val="22"/>
                      <w:lang w:val="it-IT"/>
                    </w:rPr>
                    <w:t xml:space="preserve"> din Regulamentul </w:t>
                  </w:r>
                  <w:r w:rsidRPr="00A24080">
                    <w:rPr>
                      <w:sz w:val="22"/>
                      <w:szCs w:val="22"/>
                      <w:lang w:val="it-IT"/>
                    </w:rPr>
                    <w:t>nr.XX/2026</w:t>
                  </w:r>
                  <w:r w:rsidR="004E1103" w:rsidRPr="00A24080">
                    <w:rPr>
                      <w:sz w:val="22"/>
                      <w:szCs w:val="22"/>
                      <w:lang w:val="it-IT"/>
                    </w:rPr>
                    <w:t xml:space="preserve"> </w:t>
                  </w:r>
                </w:p>
                <w:p w14:paraId="456C9F9C" w14:textId="77777777" w:rsidR="004E1103" w:rsidRPr="00A24080" w:rsidRDefault="004E1103" w:rsidP="0028208B">
                  <w:pPr>
                    <w:framePr w:hSpace="180" w:wrap="around" w:vAnchor="text" w:hAnchor="text" w:x="-612" w:y="1"/>
                    <w:ind w:right="90"/>
                    <w:suppressOverlap/>
                    <w:jc w:val="both"/>
                    <w:rPr>
                      <w:sz w:val="22"/>
                      <w:szCs w:val="22"/>
                      <w:lang w:val="ro-RO"/>
                    </w:rPr>
                  </w:pPr>
                  <w:r w:rsidRPr="00A24080">
                    <w:rPr>
                      <w:sz w:val="22"/>
                      <w:szCs w:val="22"/>
                      <w:lang w:val="it-IT"/>
                    </w:rPr>
                    <w:t>Cerințele suplimentare pentru opțiuni legate de alte riscuri decât riscul delta se raportează prin metoda utilizată pentru calcularea acestuia.</w:t>
                  </w:r>
                </w:p>
              </w:tc>
            </w:tr>
          </w:tbl>
          <w:p w14:paraId="67D5B0B0" w14:textId="77777777" w:rsidR="004E1103" w:rsidRPr="00A24080" w:rsidRDefault="004E1103" w:rsidP="0028208B">
            <w:pPr>
              <w:ind w:right="90"/>
              <w:rPr>
                <w:sz w:val="22"/>
                <w:szCs w:val="22"/>
                <w:lang w:val="ro-RO"/>
              </w:rPr>
            </w:pPr>
          </w:p>
        </w:tc>
        <w:tc>
          <w:tcPr>
            <w:tcW w:w="1418" w:type="dxa"/>
          </w:tcPr>
          <w:p w14:paraId="0BE84FC5" w14:textId="287EBC55"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A48E765" w14:textId="77777777" w:rsidR="004E1103" w:rsidRPr="00A24080" w:rsidRDefault="004E1103" w:rsidP="0028208B">
            <w:pPr>
              <w:jc w:val="both"/>
              <w:rPr>
                <w:bCs/>
                <w:sz w:val="22"/>
                <w:szCs w:val="22"/>
                <w:lang w:val="ro-RO"/>
              </w:rPr>
            </w:pPr>
          </w:p>
        </w:tc>
      </w:tr>
      <w:tr w:rsidR="004E1103" w:rsidRPr="00A24080" w14:paraId="59BE7E49" w14:textId="77777777" w:rsidTr="0028208B">
        <w:tc>
          <w:tcPr>
            <w:tcW w:w="5143" w:type="dxa"/>
          </w:tcPr>
          <w:p w14:paraId="3AF00C28" w14:textId="21C266C1" w:rsidR="004E1103" w:rsidRPr="00A24080" w:rsidRDefault="004E1103" w:rsidP="0028208B">
            <w:pPr>
              <w:ind w:right="90"/>
              <w:jc w:val="both"/>
              <w:rPr>
                <w:sz w:val="22"/>
                <w:szCs w:val="22"/>
                <w:lang w:val="ro-MD"/>
              </w:rPr>
            </w:pPr>
            <w:r w:rsidRPr="00A24080">
              <w:rPr>
                <w:sz w:val="22"/>
                <w:szCs w:val="22"/>
                <w:lang w:val="ro-MD"/>
              </w:rPr>
              <w:t>5.5.</w:t>
            </w:r>
            <w:r w:rsidRPr="00A24080">
              <w:rPr>
                <w:sz w:val="22"/>
                <w:szCs w:val="22"/>
                <w:lang w:val="ro-MD"/>
              </w:rPr>
              <w:tab/>
              <w:t>C 22.01 – Riscul de piață: abordarea standardizată simplificată pentru riscul valutar (MKR SSA FX)</w:t>
            </w:r>
          </w:p>
        </w:tc>
        <w:tc>
          <w:tcPr>
            <w:tcW w:w="5103" w:type="dxa"/>
          </w:tcPr>
          <w:p w14:paraId="260F2A55" w14:textId="6F18F2FA" w:rsidR="004E1103" w:rsidRPr="00EE7DB0" w:rsidRDefault="006365D6" w:rsidP="0028208B">
            <w:pPr>
              <w:ind w:right="90"/>
              <w:jc w:val="both"/>
              <w:rPr>
                <w:sz w:val="22"/>
                <w:szCs w:val="22"/>
                <w:lang w:val="it-IT"/>
              </w:rPr>
            </w:pPr>
            <w:r w:rsidRPr="00EE7DB0">
              <w:rPr>
                <w:b/>
                <w:i/>
                <w:sz w:val="22"/>
                <w:szCs w:val="22"/>
                <w:lang w:val="it-IT"/>
              </w:rPr>
              <w:t>Secțiunea 6</w:t>
            </w:r>
            <w:r w:rsidRPr="00A24080">
              <w:rPr>
                <w:sz w:val="22"/>
                <w:szCs w:val="22"/>
                <w:lang w:val="ro-MD"/>
              </w:rPr>
              <w:t xml:space="preserve">. </w:t>
            </w:r>
            <w:r w:rsidR="004E1103" w:rsidRPr="00A24080">
              <w:rPr>
                <w:sz w:val="22"/>
                <w:szCs w:val="22"/>
                <w:lang w:val="ro-MD"/>
              </w:rPr>
              <w:tab/>
              <w:t>C 22.01 – Riscul de piață: abord</w:t>
            </w:r>
            <w:r w:rsidR="002862FD">
              <w:rPr>
                <w:sz w:val="22"/>
                <w:szCs w:val="22"/>
                <w:lang w:val="ro-MD"/>
              </w:rPr>
              <w:t>ări</w:t>
            </w:r>
            <w:r w:rsidR="004E1103" w:rsidRPr="00A24080">
              <w:rPr>
                <w:sz w:val="22"/>
                <w:szCs w:val="22"/>
                <w:lang w:val="ro-MD"/>
              </w:rPr>
              <w:t xml:space="preserve"> standardizat</w:t>
            </w:r>
            <w:r w:rsidR="002862FD">
              <w:rPr>
                <w:sz w:val="22"/>
                <w:szCs w:val="22"/>
                <w:lang w:val="ro-MD"/>
              </w:rPr>
              <w:t>e</w:t>
            </w:r>
            <w:r w:rsidR="004E1103" w:rsidRPr="00A24080">
              <w:rPr>
                <w:sz w:val="22"/>
                <w:szCs w:val="22"/>
                <w:lang w:val="ro-MD"/>
              </w:rPr>
              <w:t xml:space="preserve"> simplificat</w:t>
            </w:r>
            <w:r w:rsidR="002862FD">
              <w:rPr>
                <w:sz w:val="22"/>
                <w:szCs w:val="22"/>
                <w:lang w:val="ro-MD"/>
              </w:rPr>
              <w:t>e</w:t>
            </w:r>
            <w:r w:rsidR="004E1103" w:rsidRPr="00A24080">
              <w:rPr>
                <w:sz w:val="22"/>
                <w:szCs w:val="22"/>
                <w:lang w:val="ro-MD"/>
              </w:rPr>
              <w:t xml:space="preserve"> pentru riscul valutar (MKR SSA FX)</w:t>
            </w:r>
          </w:p>
        </w:tc>
        <w:tc>
          <w:tcPr>
            <w:tcW w:w="1418" w:type="dxa"/>
          </w:tcPr>
          <w:p w14:paraId="2ED7C384" w14:textId="067398C6"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674611E" w14:textId="35B8C747" w:rsidR="004E1103" w:rsidRPr="00A24080" w:rsidRDefault="002862FD" w:rsidP="0028208B">
            <w:pPr>
              <w:jc w:val="both"/>
              <w:rPr>
                <w:bCs/>
                <w:sz w:val="22"/>
                <w:szCs w:val="22"/>
                <w:lang w:val="ro-RO"/>
              </w:rPr>
            </w:pPr>
            <w:r>
              <w:rPr>
                <w:bCs/>
                <w:sz w:val="22"/>
                <w:szCs w:val="22"/>
                <w:lang w:val="ro-RO"/>
              </w:rPr>
              <w:t>Denumirea secțiunii ajustată la denumirea formularului C 22.01.</w:t>
            </w:r>
          </w:p>
        </w:tc>
      </w:tr>
      <w:tr w:rsidR="004E1103" w:rsidRPr="00A24080" w14:paraId="2D66C55D" w14:textId="77777777" w:rsidTr="0028208B">
        <w:tc>
          <w:tcPr>
            <w:tcW w:w="5143" w:type="dxa"/>
          </w:tcPr>
          <w:p w14:paraId="36970F77" w14:textId="0E082617" w:rsidR="004E1103" w:rsidRPr="00A24080" w:rsidRDefault="004E1103" w:rsidP="0028208B">
            <w:pPr>
              <w:ind w:right="90"/>
              <w:jc w:val="both"/>
              <w:rPr>
                <w:sz w:val="22"/>
                <w:szCs w:val="22"/>
                <w:lang w:val="ro-MD"/>
              </w:rPr>
            </w:pPr>
            <w:r w:rsidRPr="00A24080">
              <w:rPr>
                <w:sz w:val="22"/>
                <w:szCs w:val="22"/>
                <w:lang w:val="ro-MD"/>
              </w:rPr>
              <w:t>5.5.1.</w:t>
            </w:r>
            <w:r w:rsidRPr="00A24080">
              <w:rPr>
                <w:sz w:val="22"/>
                <w:szCs w:val="22"/>
                <w:lang w:val="ro-MD"/>
              </w:rPr>
              <w:tab/>
              <w:t>Observații generale</w:t>
            </w:r>
          </w:p>
        </w:tc>
        <w:tc>
          <w:tcPr>
            <w:tcW w:w="5103" w:type="dxa"/>
          </w:tcPr>
          <w:p w14:paraId="5C3927C3" w14:textId="26111D03" w:rsidR="004E1103" w:rsidRPr="00A24080" w:rsidRDefault="006365D6" w:rsidP="0028208B">
            <w:pPr>
              <w:ind w:right="90"/>
              <w:jc w:val="both"/>
              <w:rPr>
                <w:sz w:val="22"/>
                <w:szCs w:val="22"/>
              </w:rPr>
            </w:pPr>
            <w:r w:rsidRPr="00A24080">
              <w:rPr>
                <w:sz w:val="22"/>
                <w:szCs w:val="22"/>
                <w:lang w:val="ro-MD"/>
              </w:rPr>
              <w:t>Subsecțiunea 1</w:t>
            </w:r>
            <w:r w:rsidR="004E1103" w:rsidRPr="00A24080">
              <w:rPr>
                <w:sz w:val="22"/>
                <w:szCs w:val="22"/>
                <w:lang w:val="ro-MD"/>
              </w:rPr>
              <w:t>.</w:t>
            </w:r>
            <w:r w:rsidR="004E1103" w:rsidRPr="00A24080">
              <w:rPr>
                <w:sz w:val="22"/>
                <w:szCs w:val="22"/>
                <w:lang w:val="ro-MD"/>
              </w:rPr>
              <w:tab/>
              <w:t>Observații generale</w:t>
            </w:r>
          </w:p>
        </w:tc>
        <w:tc>
          <w:tcPr>
            <w:tcW w:w="1418" w:type="dxa"/>
          </w:tcPr>
          <w:p w14:paraId="17B75463" w14:textId="6E1D32FB"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F2D06B2" w14:textId="77777777" w:rsidR="004E1103" w:rsidRPr="00A24080" w:rsidRDefault="004E1103" w:rsidP="0028208B">
            <w:pPr>
              <w:jc w:val="both"/>
              <w:rPr>
                <w:bCs/>
                <w:sz w:val="22"/>
                <w:szCs w:val="22"/>
                <w:lang w:val="ro-RO"/>
              </w:rPr>
            </w:pPr>
          </w:p>
        </w:tc>
      </w:tr>
      <w:tr w:rsidR="004E1103" w:rsidRPr="00A24080" w14:paraId="144B025D" w14:textId="77777777" w:rsidTr="0028208B">
        <w:tc>
          <w:tcPr>
            <w:tcW w:w="5143" w:type="dxa"/>
          </w:tcPr>
          <w:p w14:paraId="641D5BFA" w14:textId="50426F92" w:rsidR="004E1103" w:rsidRPr="00A24080" w:rsidRDefault="004E1103" w:rsidP="0028208B">
            <w:pPr>
              <w:ind w:right="90"/>
              <w:jc w:val="both"/>
              <w:rPr>
                <w:sz w:val="22"/>
                <w:szCs w:val="22"/>
                <w:lang w:val="ro-MD"/>
              </w:rPr>
            </w:pPr>
            <w:r w:rsidRPr="00A24080">
              <w:rPr>
                <w:sz w:val="22"/>
                <w:szCs w:val="22"/>
                <w:lang w:val="ro-MD"/>
              </w:rPr>
              <w:t>171. Instituțiile raportează informații privind pozițiile pe fiecare valută (inclusiv moneda de raportare) și cerințele de fonduri proprii aferente acestora pentru riscul valutar tratate conform abordării standardizate. Poziția se calculează pentru fiecare monedă (inclusiv EUR), pentru aur și pentru pozițiile în OPC-uri.</w:t>
            </w:r>
          </w:p>
        </w:tc>
        <w:tc>
          <w:tcPr>
            <w:tcW w:w="5103" w:type="dxa"/>
          </w:tcPr>
          <w:p w14:paraId="555E7191" w14:textId="0F7F5026" w:rsidR="004E1103" w:rsidRPr="00A24080" w:rsidRDefault="006365D6" w:rsidP="0028208B">
            <w:pPr>
              <w:ind w:right="90"/>
              <w:jc w:val="both"/>
              <w:rPr>
                <w:sz w:val="22"/>
                <w:szCs w:val="22"/>
                <w:lang w:val="ro-MD"/>
              </w:rPr>
            </w:pPr>
            <w:r w:rsidRPr="00A24080">
              <w:rPr>
                <w:sz w:val="22"/>
                <w:szCs w:val="22"/>
                <w:lang w:val="ro-MD"/>
              </w:rPr>
              <w:t>14</w:t>
            </w:r>
            <w:r w:rsidR="004E1103" w:rsidRPr="00A24080">
              <w:rPr>
                <w:sz w:val="22"/>
                <w:szCs w:val="22"/>
                <w:lang w:val="ro-MD"/>
              </w:rPr>
              <w:t xml:space="preserve">. </w:t>
            </w:r>
            <w:r w:rsidR="002E1738" w:rsidRPr="00A24080">
              <w:rPr>
                <w:sz w:val="22"/>
                <w:szCs w:val="22"/>
                <w:lang w:val="ro-MD"/>
              </w:rPr>
              <w:t xml:space="preserve">Băncile </w:t>
            </w:r>
            <w:r w:rsidR="004E1103" w:rsidRPr="00A24080">
              <w:rPr>
                <w:sz w:val="22"/>
                <w:szCs w:val="22"/>
                <w:lang w:val="ro-MD"/>
              </w:rPr>
              <w:t>raportează informații privind pozițiile pe fiecare valută (inclusiv moneda de raportare) și cerințele de fonduri proprii aferente acestora pentru riscul valutar tratate conform abordării standardizate. Poziția se calculează pentru fiecare monedă (inclusiv EUR), pentru aur și pentru pozițiile în OPC-uri.</w:t>
            </w:r>
          </w:p>
        </w:tc>
        <w:tc>
          <w:tcPr>
            <w:tcW w:w="1418" w:type="dxa"/>
          </w:tcPr>
          <w:p w14:paraId="2337A929" w14:textId="19DBF1BE"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961496F" w14:textId="77777777" w:rsidR="004E1103" w:rsidRPr="00A24080" w:rsidRDefault="004E1103" w:rsidP="0028208B">
            <w:pPr>
              <w:jc w:val="both"/>
              <w:rPr>
                <w:bCs/>
                <w:sz w:val="22"/>
                <w:szCs w:val="22"/>
                <w:lang w:val="ro-RO"/>
              </w:rPr>
            </w:pPr>
          </w:p>
        </w:tc>
      </w:tr>
      <w:tr w:rsidR="004E1103" w:rsidRPr="00A24080" w14:paraId="1BC9697C" w14:textId="77777777" w:rsidTr="0028208B">
        <w:tc>
          <w:tcPr>
            <w:tcW w:w="5143" w:type="dxa"/>
          </w:tcPr>
          <w:p w14:paraId="48F3E79F" w14:textId="65CFF477" w:rsidR="004E1103" w:rsidRPr="00A24080" w:rsidRDefault="004E1103" w:rsidP="0028208B">
            <w:pPr>
              <w:ind w:right="90"/>
              <w:jc w:val="both"/>
              <w:rPr>
                <w:sz w:val="22"/>
                <w:szCs w:val="22"/>
                <w:lang w:val="ro-MD"/>
              </w:rPr>
            </w:pPr>
            <w:r w:rsidRPr="00A24080">
              <w:rPr>
                <w:sz w:val="22"/>
                <w:szCs w:val="22"/>
                <w:lang w:val="ro-MD"/>
              </w:rPr>
              <w:t>172.</w:t>
            </w:r>
            <w:r w:rsidRPr="00A24080">
              <w:rPr>
                <w:sz w:val="22"/>
                <w:szCs w:val="22"/>
                <w:lang w:val="ro-MD"/>
              </w:rPr>
              <w:tab/>
              <w:t xml:space="preserve"> Rândurile 0100-0480 din prezentul formular trebuie raportate chiar dacă instituțiile nu sunt obligate să își calculeze cerințele de fonduri proprii pentru riscul </w:t>
            </w:r>
            <w:r w:rsidRPr="00A24080">
              <w:rPr>
                <w:sz w:val="22"/>
                <w:szCs w:val="22"/>
                <w:lang w:val="ro-MD"/>
              </w:rPr>
              <w:lastRenderedPageBreak/>
              <w:t>valutar, în conformitate cu articolul 351 din Regulamentul (UE) nr. 575/2013. La aceste elemente memorandum se includ toate pozițiile în moneda de raportare, indiferent dacă sunt sau nu luate în considerare în scopurile articolului 354 din Regulamentul (UE) nr. 575/2013. Rândurile 0130-0480 aferente elementelor memorandum din formular se completează separat pentru toate monedele statelor membre ale Uniunii, pentru monedele următoare: GBP, USD, CHF, JPY, RUB, TRY, AUD, CAD, RSD, ALL, UAH, MKD, EGP, ARS, BRL, MXN, HKD, ICK, TWD, NZD, NOK, SGD, KRW, CNY și pentru toate celelalte monede.</w:t>
            </w:r>
          </w:p>
        </w:tc>
        <w:tc>
          <w:tcPr>
            <w:tcW w:w="5103" w:type="dxa"/>
          </w:tcPr>
          <w:p w14:paraId="5009A57D" w14:textId="0F6F1CAB" w:rsidR="004E1103" w:rsidRPr="00A24080" w:rsidRDefault="006365D6" w:rsidP="0028208B">
            <w:pPr>
              <w:ind w:right="90"/>
              <w:jc w:val="both"/>
              <w:rPr>
                <w:sz w:val="22"/>
                <w:szCs w:val="22"/>
                <w:lang w:val="ro-MD"/>
              </w:rPr>
            </w:pPr>
            <w:r w:rsidRPr="00A24080">
              <w:rPr>
                <w:sz w:val="22"/>
                <w:szCs w:val="22"/>
                <w:lang w:val="ro-MD"/>
              </w:rPr>
              <w:lastRenderedPageBreak/>
              <w:t>15</w:t>
            </w:r>
            <w:r w:rsidR="004E1103" w:rsidRPr="00A24080">
              <w:rPr>
                <w:sz w:val="22"/>
                <w:szCs w:val="22"/>
                <w:lang w:val="ro-MD"/>
              </w:rPr>
              <w:t>.</w:t>
            </w:r>
            <w:r w:rsidR="004E1103" w:rsidRPr="00A24080">
              <w:rPr>
                <w:sz w:val="22"/>
                <w:szCs w:val="22"/>
                <w:lang w:val="ro-MD"/>
              </w:rPr>
              <w:tab/>
              <w:t xml:space="preserve"> Rândurile 0100-0480 din prezentul formular trebuie raportate chiar dacă </w:t>
            </w:r>
            <w:r w:rsidR="002E1738" w:rsidRPr="00A24080">
              <w:rPr>
                <w:sz w:val="22"/>
                <w:szCs w:val="22"/>
                <w:lang w:val="ro-MD"/>
              </w:rPr>
              <w:t xml:space="preserve">băncile </w:t>
            </w:r>
            <w:r w:rsidR="004E1103" w:rsidRPr="00A24080">
              <w:rPr>
                <w:sz w:val="22"/>
                <w:szCs w:val="22"/>
                <w:lang w:val="ro-MD"/>
              </w:rPr>
              <w:t xml:space="preserve">nu sunt obligate să își calculeze cerințele de fonduri proprii pentru riscul </w:t>
            </w:r>
            <w:r w:rsidR="004E1103" w:rsidRPr="00A24080">
              <w:rPr>
                <w:sz w:val="22"/>
                <w:szCs w:val="22"/>
                <w:lang w:val="ro-MD"/>
              </w:rPr>
              <w:lastRenderedPageBreak/>
              <w:t xml:space="preserve">valutar, în conformitate cu </w:t>
            </w:r>
            <w:r w:rsidRPr="00A24080">
              <w:rPr>
                <w:sz w:val="22"/>
                <w:szCs w:val="22"/>
                <w:lang w:val="ro-MD"/>
              </w:rPr>
              <w:t>pct.495</w:t>
            </w:r>
            <w:r w:rsidR="004E1103" w:rsidRPr="00A24080">
              <w:rPr>
                <w:sz w:val="22"/>
                <w:szCs w:val="22"/>
                <w:lang w:val="ro-MD"/>
              </w:rPr>
              <w:t xml:space="preserve"> din Regulamentul  nr. </w:t>
            </w:r>
            <w:r w:rsidRPr="00A24080">
              <w:rPr>
                <w:sz w:val="22"/>
                <w:szCs w:val="22"/>
                <w:lang w:val="ro-MD"/>
              </w:rPr>
              <w:t>XX/2026</w:t>
            </w:r>
            <w:r w:rsidR="004E1103" w:rsidRPr="00A24080">
              <w:rPr>
                <w:sz w:val="22"/>
                <w:szCs w:val="22"/>
                <w:lang w:val="ro-MD"/>
              </w:rPr>
              <w:t xml:space="preserve">. La aceste elemente memorandum se includ toate pozițiile în moneda de raportare, indiferent dacă sunt sau nu luate în considerare în scopurile </w:t>
            </w:r>
            <w:r w:rsidR="005870B1" w:rsidRPr="00A24080">
              <w:rPr>
                <w:sz w:val="22"/>
                <w:szCs w:val="22"/>
                <w:lang w:val="ro-MD"/>
              </w:rPr>
              <w:t xml:space="preserve">titlului II </w:t>
            </w:r>
            <w:r w:rsidR="007634BA" w:rsidRPr="00A24080">
              <w:rPr>
                <w:sz w:val="22"/>
                <w:szCs w:val="22"/>
                <w:lang w:val="ro-MD"/>
              </w:rPr>
              <w:t>capitolul V secțiun</w:t>
            </w:r>
            <w:r w:rsidR="005870B1" w:rsidRPr="00A24080">
              <w:rPr>
                <w:sz w:val="22"/>
                <w:szCs w:val="22"/>
                <w:lang w:val="ro-MD"/>
              </w:rPr>
              <w:t>ea</w:t>
            </w:r>
            <w:r w:rsidR="007634BA" w:rsidRPr="00A24080">
              <w:rPr>
                <w:sz w:val="22"/>
                <w:szCs w:val="22"/>
                <w:lang w:val="ro-MD"/>
              </w:rPr>
              <w:t xml:space="preserve"> 4</w:t>
            </w:r>
            <w:r w:rsidR="004E1103" w:rsidRPr="00A24080">
              <w:rPr>
                <w:sz w:val="22"/>
                <w:szCs w:val="22"/>
                <w:lang w:val="ro-MD"/>
              </w:rPr>
              <w:t xml:space="preserve"> din </w:t>
            </w:r>
            <w:r w:rsidR="007634BA" w:rsidRPr="00A24080">
              <w:rPr>
                <w:sz w:val="22"/>
                <w:szCs w:val="22"/>
                <w:lang w:val="ro-MD"/>
              </w:rPr>
              <w:t>r</w:t>
            </w:r>
            <w:r w:rsidR="004E1103" w:rsidRPr="00A24080">
              <w:rPr>
                <w:sz w:val="22"/>
                <w:szCs w:val="22"/>
                <w:lang w:val="ro-MD"/>
              </w:rPr>
              <w:t xml:space="preserve">egulamentul </w:t>
            </w:r>
            <w:r w:rsidR="007634BA" w:rsidRPr="00A24080">
              <w:rPr>
                <w:sz w:val="22"/>
                <w:szCs w:val="22"/>
                <w:lang w:val="ro-MD"/>
              </w:rPr>
              <w:t>respectiv</w:t>
            </w:r>
            <w:r w:rsidR="004E1103" w:rsidRPr="00A24080">
              <w:rPr>
                <w:sz w:val="22"/>
                <w:szCs w:val="22"/>
                <w:lang w:val="ro-MD"/>
              </w:rPr>
              <w:t>. Rândurile 0130-0480 aferente elementelor memorandum din formular se completează separat pentru toate monedele statelor membre ale Uniunii, pentru monedele următoare: GBP, USD, CHF, JPY, RUB, TRY, AUD, CAD, RSD, ALL, UAH,</w:t>
            </w:r>
            <w:r w:rsidR="007634BA" w:rsidRPr="00A24080">
              <w:rPr>
                <w:sz w:val="22"/>
                <w:szCs w:val="22"/>
                <w:lang w:val="ro-MD"/>
              </w:rPr>
              <w:t xml:space="preserve"> MDL,</w:t>
            </w:r>
            <w:r w:rsidR="004E1103" w:rsidRPr="00A24080">
              <w:rPr>
                <w:sz w:val="22"/>
                <w:szCs w:val="22"/>
                <w:lang w:val="ro-MD"/>
              </w:rPr>
              <w:t xml:space="preserve"> MKD, EGP, ARS, BRL, MXN, HKD, ICK, TWD, NZD, NOK, SGD, KRW, CNY și pentru toate celelalte monede.</w:t>
            </w:r>
          </w:p>
        </w:tc>
        <w:tc>
          <w:tcPr>
            <w:tcW w:w="1418" w:type="dxa"/>
          </w:tcPr>
          <w:p w14:paraId="1D1E8760" w14:textId="39C5018D" w:rsidR="004E1103" w:rsidRPr="00A24080" w:rsidRDefault="00E354E8"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73C34FC" w14:textId="5FC82344" w:rsidR="004E1103" w:rsidRPr="00A24080" w:rsidRDefault="007634BA" w:rsidP="0028208B">
            <w:pPr>
              <w:jc w:val="both"/>
              <w:rPr>
                <w:sz w:val="22"/>
                <w:szCs w:val="22"/>
                <w:lang w:val="ro-RO"/>
              </w:rPr>
            </w:pPr>
            <w:r w:rsidRPr="00A24080">
              <w:rPr>
                <w:sz w:val="22"/>
                <w:szCs w:val="22"/>
                <w:lang w:val="ro-RO"/>
              </w:rPr>
              <w:t>Completat cu MDL</w:t>
            </w:r>
          </w:p>
        </w:tc>
      </w:tr>
      <w:tr w:rsidR="004E1103" w:rsidRPr="00A24080" w14:paraId="7C510989" w14:textId="77777777" w:rsidTr="0028208B">
        <w:tc>
          <w:tcPr>
            <w:tcW w:w="5143" w:type="dxa"/>
          </w:tcPr>
          <w:p w14:paraId="64917A40" w14:textId="2E8A22E2" w:rsidR="004E1103" w:rsidRPr="00A24080" w:rsidRDefault="004E1103" w:rsidP="0028208B">
            <w:pPr>
              <w:ind w:right="90"/>
              <w:jc w:val="both"/>
              <w:rPr>
                <w:sz w:val="22"/>
                <w:szCs w:val="22"/>
                <w:lang w:val="ro-MD"/>
              </w:rPr>
            </w:pPr>
            <w:r w:rsidRPr="00A24080">
              <w:rPr>
                <w:sz w:val="22"/>
                <w:szCs w:val="22"/>
                <w:lang w:val="ro-MD"/>
              </w:rPr>
              <w:t>5.5.2.</w:t>
            </w:r>
            <w:r w:rsidRPr="00A24080">
              <w:rPr>
                <w:sz w:val="22"/>
                <w:szCs w:val="22"/>
                <w:lang w:val="ro-MD"/>
              </w:rPr>
              <w:tab/>
              <w:t>Instrucțiuni privind anumite poziții</w:t>
            </w:r>
          </w:p>
        </w:tc>
        <w:tc>
          <w:tcPr>
            <w:tcW w:w="5103" w:type="dxa"/>
          </w:tcPr>
          <w:p w14:paraId="3C0BC57D" w14:textId="34AB9148" w:rsidR="004E1103" w:rsidRPr="00A24080" w:rsidRDefault="004E1103" w:rsidP="0028208B">
            <w:pPr>
              <w:ind w:right="90"/>
              <w:jc w:val="both"/>
              <w:rPr>
                <w:sz w:val="22"/>
                <w:szCs w:val="22"/>
                <w:lang w:val="ro-MD"/>
              </w:rPr>
            </w:pPr>
            <w:r w:rsidRPr="00A24080">
              <w:rPr>
                <w:sz w:val="22"/>
                <w:szCs w:val="22"/>
                <w:lang w:val="ro-MD"/>
              </w:rPr>
              <w:tab/>
              <w:t>Instrucțiuni privind anumite poziții</w:t>
            </w:r>
          </w:p>
        </w:tc>
        <w:tc>
          <w:tcPr>
            <w:tcW w:w="1418" w:type="dxa"/>
          </w:tcPr>
          <w:p w14:paraId="2AA416E4" w14:textId="4593285F" w:rsidR="004E1103" w:rsidRPr="00A24080" w:rsidRDefault="00E354E8"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40EF16E" w14:textId="77777777" w:rsidR="004E1103" w:rsidRPr="00A24080" w:rsidRDefault="004E1103" w:rsidP="0028208B">
            <w:pPr>
              <w:jc w:val="both"/>
              <w:rPr>
                <w:bCs/>
                <w:sz w:val="22"/>
                <w:szCs w:val="22"/>
                <w:lang w:val="ro-RO"/>
              </w:rPr>
            </w:pPr>
          </w:p>
        </w:tc>
      </w:tr>
      <w:tr w:rsidR="004E1103" w:rsidRPr="00EE7DB0" w14:paraId="4841BCE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4E1103" w:rsidRPr="00A24080" w14:paraId="62BD05FC" w14:textId="77777777" w:rsidTr="002C6ADD">
              <w:tc>
                <w:tcPr>
                  <w:tcW w:w="4917" w:type="dxa"/>
                  <w:gridSpan w:val="2"/>
                  <w:shd w:val="clear" w:color="auto" w:fill="D0CECE" w:themeFill="background2" w:themeFillShade="E6"/>
                </w:tcPr>
                <w:p w14:paraId="72EBFFB0" w14:textId="7509D81C" w:rsidR="004E1103" w:rsidRPr="00A24080" w:rsidRDefault="002C6ADD" w:rsidP="0028208B">
                  <w:pPr>
                    <w:framePr w:hSpace="180" w:wrap="around" w:vAnchor="text" w:hAnchor="text" w:x="-612" w:y="1"/>
                    <w:ind w:right="90"/>
                    <w:suppressOverlap/>
                    <w:jc w:val="both"/>
                    <w:rPr>
                      <w:b/>
                      <w:bCs/>
                      <w:sz w:val="22"/>
                      <w:szCs w:val="22"/>
                      <w:lang w:val="ro-MD"/>
                    </w:rPr>
                  </w:pPr>
                  <w:r w:rsidRPr="00A24080">
                    <w:rPr>
                      <w:b/>
                      <w:bCs/>
                      <w:sz w:val="22"/>
                      <w:szCs w:val="22"/>
                      <w:lang w:val="ro-MD"/>
                    </w:rPr>
                    <w:t>Coloane</w:t>
                  </w:r>
                </w:p>
              </w:tc>
            </w:tr>
            <w:tr w:rsidR="002C6ADD" w:rsidRPr="00EE7DB0" w14:paraId="2098BCE7" w14:textId="77777777" w:rsidTr="004E1103">
              <w:tc>
                <w:tcPr>
                  <w:tcW w:w="1056" w:type="dxa"/>
                </w:tcPr>
                <w:p w14:paraId="089B88EA" w14:textId="7F5BD692" w:rsidR="002C6ADD" w:rsidRPr="00A24080" w:rsidRDefault="002C6ADD" w:rsidP="0028208B">
                  <w:pPr>
                    <w:framePr w:hSpace="180" w:wrap="around" w:vAnchor="text" w:hAnchor="text" w:x="-612" w:y="1"/>
                    <w:ind w:right="90"/>
                    <w:suppressOverlap/>
                    <w:jc w:val="both"/>
                    <w:rPr>
                      <w:sz w:val="22"/>
                      <w:szCs w:val="22"/>
                      <w:lang w:val="ro-MD"/>
                    </w:rPr>
                  </w:pPr>
                  <w:r w:rsidRPr="00A24080">
                    <w:rPr>
                      <w:sz w:val="22"/>
                      <w:szCs w:val="22"/>
                    </w:rPr>
                    <w:t>0020-0030</w:t>
                  </w:r>
                </w:p>
              </w:tc>
              <w:tc>
                <w:tcPr>
                  <w:tcW w:w="3861" w:type="dxa"/>
                </w:tcPr>
                <w:p w14:paraId="0143A577"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06996F3A"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 brute ca urmare a activelor, sumelor de încasat și elementelor similare menționate la articolul 352 alineatul (1) din Regulamentul (UE) nr. 575/2013.</w:t>
                  </w:r>
                </w:p>
                <w:p w14:paraId="474CA7EC"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În conformitate cu articolul 352 alineatul (2) din Regulamentul (UE) nr. 575/2013 și sub rezerva obținerii aprobărilor din partea autorităților competente, nu trebuie raportate pozițiile adoptate pentru a se acoperi efectul advers al cursului de schimb asupra ratelor lor în conformitate cu articolul 92 alineatul (1) din regulamentul respectiv și nici pozițiile în legătură cu elemente care sunt deja deduse la calcularea fondurilor proprii.</w:t>
                  </w:r>
                </w:p>
                <w:p w14:paraId="51E02FDB" w14:textId="77777777" w:rsidR="002C6ADD" w:rsidRPr="00A24080" w:rsidRDefault="002C6ADD" w:rsidP="0028208B">
                  <w:pPr>
                    <w:framePr w:hSpace="180" w:wrap="around" w:vAnchor="text" w:hAnchor="text" w:x="-612" w:y="1"/>
                    <w:ind w:right="90"/>
                    <w:suppressOverlap/>
                    <w:jc w:val="both"/>
                    <w:rPr>
                      <w:sz w:val="22"/>
                      <w:szCs w:val="22"/>
                      <w:lang w:val="ro-MD"/>
                    </w:rPr>
                  </w:pPr>
                </w:p>
              </w:tc>
            </w:tr>
          </w:tbl>
          <w:p w14:paraId="74D7CCB9" w14:textId="77777777" w:rsidR="004E1103" w:rsidRPr="00A24080" w:rsidRDefault="004E1103" w:rsidP="0028208B">
            <w:pPr>
              <w:ind w:right="90"/>
              <w:jc w:val="both"/>
              <w:rPr>
                <w:sz w:val="22"/>
                <w:szCs w:val="22"/>
                <w:lang w:val="ro-MD"/>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A24080" w14:paraId="32435F65" w14:textId="77777777" w:rsidTr="003146FA">
              <w:tc>
                <w:tcPr>
                  <w:tcW w:w="4917" w:type="dxa"/>
                  <w:gridSpan w:val="2"/>
                  <w:shd w:val="clear" w:color="auto" w:fill="D0CECE" w:themeFill="background2" w:themeFillShade="E6"/>
                </w:tcPr>
                <w:p w14:paraId="53605901" w14:textId="77777777" w:rsidR="002C6ADD" w:rsidRPr="00A24080" w:rsidRDefault="002C6ADD" w:rsidP="0028208B">
                  <w:pPr>
                    <w:framePr w:hSpace="180" w:wrap="around" w:vAnchor="text" w:hAnchor="text" w:x="-612" w:y="1"/>
                    <w:ind w:right="90"/>
                    <w:suppressOverlap/>
                    <w:jc w:val="both"/>
                    <w:rPr>
                      <w:b/>
                      <w:bCs/>
                      <w:sz w:val="22"/>
                      <w:szCs w:val="22"/>
                      <w:lang w:val="ro-MD"/>
                    </w:rPr>
                  </w:pPr>
                  <w:r w:rsidRPr="00A24080">
                    <w:rPr>
                      <w:b/>
                      <w:bCs/>
                      <w:sz w:val="22"/>
                      <w:szCs w:val="22"/>
                      <w:lang w:val="ro-MD"/>
                    </w:rPr>
                    <w:t>Coloane</w:t>
                  </w:r>
                </w:p>
              </w:tc>
            </w:tr>
            <w:tr w:rsidR="002C6ADD" w:rsidRPr="00A24080" w14:paraId="60AAAF54" w14:textId="77777777" w:rsidTr="003146FA">
              <w:tc>
                <w:tcPr>
                  <w:tcW w:w="1056" w:type="dxa"/>
                </w:tcPr>
                <w:p w14:paraId="5DAF6BF9" w14:textId="77777777" w:rsidR="002C6ADD" w:rsidRPr="00A24080" w:rsidRDefault="002C6ADD" w:rsidP="0028208B">
                  <w:pPr>
                    <w:framePr w:hSpace="180" w:wrap="around" w:vAnchor="text" w:hAnchor="text" w:x="-612" w:y="1"/>
                    <w:ind w:right="90"/>
                    <w:suppressOverlap/>
                    <w:jc w:val="both"/>
                    <w:rPr>
                      <w:sz w:val="22"/>
                      <w:szCs w:val="22"/>
                      <w:lang w:val="ro-MD"/>
                    </w:rPr>
                  </w:pPr>
                  <w:r w:rsidRPr="00A24080">
                    <w:rPr>
                      <w:sz w:val="22"/>
                      <w:szCs w:val="22"/>
                    </w:rPr>
                    <w:t>0020-0030</w:t>
                  </w:r>
                </w:p>
              </w:tc>
              <w:tc>
                <w:tcPr>
                  <w:tcW w:w="3861" w:type="dxa"/>
                </w:tcPr>
                <w:p w14:paraId="2DCE17D5"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56752131" w14:textId="3AAB3171"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 brute ca urmare a activelor, sumelor de încasat și elementelor similare menționate la </w:t>
                  </w:r>
                  <w:r w:rsidR="001579B2" w:rsidRPr="00A24080">
                    <w:rPr>
                      <w:sz w:val="22"/>
                      <w:szCs w:val="22"/>
                      <w:lang w:val="it-IT"/>
                    </w:rPr>
                    <w:t>pct.496</w:t>
                  </w:r>
                  <w:r w:rsidRPr="00A24080">
                    <w:rPr>
                      <w:sz w:val="22"/>
                      <w:szCs w:val="22"/>
                      <w:lang w:val="it-IT"/>
                    </w:rPr>
                    <w:t xml:space="preserve"> din Regulamentul nr. </w:t>
                  </w:r>
                  <w:r w:rsidR="001579B2" w:rsidRPr="00A24080">
                    <w:rPr>
                      <w:sz w:val="22"/>
                      <w:szCs w:val="22"/>
                      <w:lang w:val="it-IT"/>
                    </w:rPr>
                    <w:t>XX/2026</w:t>
                  </w:r>
                  <w:r w:rsidRPr="00A24080">
                    <w:rPr>
                      <w:sz w:val="22"/>
                      <w:szCs w:val="22"/>
                      <w:lang w:val="it-IT"/>
                    </w:rPr>
                    <w:t>.</w:t>
                  </w:r>
                </w:p>
                <w:p w14:paraId="6BEF916B"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MD"/>
                    </w:rPr>
                  </w:pPr>
                </w:p>
              </w:tc>
            </w:tr>
          </w:tbl>
          <w:p w14:paraId="15D5BF62" w14:textId="77777777" w:rsidR="004E1103" w:rsidRPr="00A24080" w:rsidRDefault="004E1103" w:rsidP="0028208B">
            <w:pPr>
              <w:ind w:right="90"/>
              <w:jc w:val="both"/>
              <w:rPr>
                <w:sz w:val="22"/>
                <w:szCs w:val="22"/>
                <w:lang w:val="ro-MD"/>
              </w:rPr>
            </w:pPr>
          </w:p>
        </w:tc>
        <w:tc>
          <w:tcPr>
            <w:tcW w:w="1418" w:type="dxa"/>
          </w:tcPr>
          <w:p w14:paraId="441BD4EA" w14:textId="2F1B9774" w:rsidR="004E1103" w:rsidRPr="00A24080" w:rsidRDefault="00A754B2"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AC3E554" w14:textId="3B9F26EC" w:rsidR="004E1103" w:rsidRPr="00A24080" w:rsidRDefault="00A754B2" w:rsidP="0028208B">
            <w:pPr>
              <w:jc w:val="both"/>
              <w:rPr>
                <w:sz w:val="22"/>
                <w:szCs w:val="22"/>
                <w:lang w:val="ro-RO"/>
              </w:rPr>
            </w:pPr>
            <w:r w:rsidRPr="00A24080">
              <w:rPr>
                <w:sz w:val="22"/>
                <w:szCs w:val="22"/>
                <w:lang w:val="ro-RO"/>
              </w:rPr>
              <w:t>Prevederile din propoziția a doua nu au fost transpuse, deoarece fac trimitere la alineatul (2) din articolul 352 al Regulamentului (UE) nr.575/2013, alineat care a fost abrogat</w:t>
            </w:r>
            <w:r w:rsidR="00055F76" w:rsidRPr="00A24080">
              <w:rPr>
                <w:sz w:val="22"/>
                <w:szCs w:val="22"/>
                <w:lang w:val="ro-RO"/>
              </w:rPr>
              <w:t xml:space="preserve"> prin Regulamentul (UE) nr.</w:t>
            </w:r>
            <w:r w:rsidR="009E1D19" w:rsidRPr="00A24080">
              <w:rPr>
                <w:sz w:val="22"/>
                <w:szCs w:val="22"/>
                <w:lang w:val="ro-RO"/>
              </w:rPr>
              <w:t xml:space="preserve"> 2024/1623</w:t>
            </w:r>
            <w:r w:rsidRPr="00A24080">
              <w:rPr>
                <w:sz w:val="22"/>
                <w:szCs w:val="22"/>
                <w:lang w:val="ro-RO"/>
              </w:rPr>
              <w:t>.</w:t>
            </w:r>
          </w:p>
        </w:tc>
      </w:tr>
      <w:tr w:rsidR="002C6ADD" w:rsidRPr="00A24080" w14:paraId="59A346B6"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5550FFB4" w14:textId="77777777" w:rsidTr="003146FA">
              <w:tc>
                <w:tcPr>
                  <w:tcW w:w="1056" w:type="dxa"/>
                </w:tcPr>
                <w:p w14:paraId="4D8AB4DB" w14:textId="1E942CC2"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lastRenderedPageBreak/>
                    <w:t>0040-0050</w:t>
                  </w:r>
                </w:p>
              </w:tc>
              <w:tc>
                <w:tcPr>
                  <w:tcW w:w="3861" w:type="dxa"/>
                </w:tcPr>
                <w:p w14:paraId="3585C028"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6729826A"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3E7D0C14"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Articolul 352 alineatul (3), articolul 352 alineatul (4) primele două teze și articolul 353 din Regulamentul (UE) nr. 575/2013</w:t>
                  </w:r>
                </w:p>
                <w:p w14:paraId="5E45207F"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sunt calculate pe fiecare valută în conformitate cu articolul 352 alineatul (1) din Regulamentul (UE) nr. 575/2013. În consecință, pot fi raportate în același timp atât pozițiile lungi, cât și pozițiile scurte.</w:t>
                  </w:r>
                </w:p>
                <w:p w14:paraId="5D4904FB"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2E79A49D"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6BC3BFAA" w14:textId="77777777" w:rsidTr="003146FA">
              <w:tc>
                <w:tcPr>
                  <w:tcW w:w="1056" w:type="dxa"/>
                </w:tcPr>
                <w:p w14:paraId="1586E1BC"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0040-0050</w:t>
                  </w:r>
                </w:p>
              </w:tc>
              <w:tc>
                <w:tcPr>
                  <w:tcW w:w="3861" w:type="dxa"/>
                </w:tcPr>
                <w:p w14:paraId="66D8CA4D" w14:textId="3965143A"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eastAsia="de-DE"/>
                    </w:rPr>
                  </w:pPr>
                  <w:r w:rsidRPr="00A24080">
                    <w:rPr>
                      <w:b/>
                      <w:sz w:val="22"/>
                      <w:szCs w:val="22"/>
                      <w:u w:val="single"/>
                      <w:lang w:val="it-IT"/>
                    </w:rPr>
                    <w:t>POZIȚII NETE (LUNGI ȘI SCURTE)</w:t>
                  </w:r>
                </w:p>
                <w:p w14:paraId="25D5EBE1" w14:textId="0CEEA785" w:rsidR="002C6ADD" w:rsidRPr="00A24080" w:rsidRDefault="00FE51E6"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Pct.500</w:t>
                  </w:r>
                  <w:r w:rsidR="002C6ADD" w:rsidRPr="00A24080">
                    <w:rPr>
                      <w:sz w:val="22"/>
                      <w:szCs w:val="22"/>
                      <w:lang w:val="it-IT"/>
                    </w:rPr>
                    <w:t xml:space="preserve">, </w:t>
                  </w:r>
                  <w:r w:rsidRPr="00A24080">
                    <w:rPr>
                      <w:sz w:val="22"/>
                      <w:szCs w:val="22"/>
                      <w:lang w:val="it-IT"/>
                    </w:rPr>
                    <w:t>501</w:t>
                  </w:r>
                  <w:r w:rsidR="002C6ADD" w:rsidRPr="00A24080">
                    <w:rPr>
                      <w:sz w:val="22"/>
                      <w:szCs w:val="22"/>
                      <w:lang w:val="it-IT"/>
                    </w:rPr>
                    <w:t xml:space="preserve"> primele două </w:t>
                  </w:r>
                  <w:r w:rsidRPr="00A24080">
                    <w:rPr>
                      <w:sz w:val="22"/>
                      <w:szCs w:val="22"/>
                      <w:lang w:val="it-IT"/>
                    </w:rPr>
                    <w:t xml:space="preserve">propoziții </w:t>
                  </w:r>
                  <w:r w:rsidR="002C6ADD" w:rsidRPr="00A24080">
                    <w:rPr>
                      <w:sz w:val="22"/>
                      <w:szCs w:val="22"/>
                      <w:lang w:val="it-IT"/>
                    </w:rPr>
                    <w:t xml:space="preserve">și </w:t>
                  </w:r>
                  <w:r w:rsidR="000A1E61" w:rsidRPr="00A24080">
                    <w:rPr>
                      <w:sz w:val="22"/>
                      <w:szCs w:val="22"/>
                      <w:lang w:val="it-IT"/>
                    </w:rPr>
                    <w:t>titlul II capitolul V secțiunea 3</w:t>
                  </w:r>
                  <w:r w:rsidR="002C6ADD" w:rsidRPr="00A24080">
                    <w:rPr>
                      <w:sz w:val="22"/>
                      <w:szCs w:val="22"/>
                      <w:lang w:val="it-IT"/>
                    </w:rPr>
                    <w:t xml:space="preserve"> din Regulamentul  nr. </w:t>
                  </w:r>
                  <w:r w:rsidRPr="00A24080">
                    <w:rPr>
                      <w:sz w:val="22"/>
                      <w:szCs w:val="22"/>
                      <w:lang w:val="it-IT"/>
                    </w:rPr>
                    <w:t>XX/2026</w:t>
                  </w:r>
                </w:p>
                <w:p w14:paraId="1AC6CC8A" w14:textId="4F304C33"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nete sunt calculate pe fiecare valută în conformitate cu </w:t>
                  </w:r>
                  <w:r w:rsidR="00FE51E6" w:rsidRPr="00A24080">
                    <w:rPr>
                      <w:sz w:val="22"/>
                      <w:szCs w:val="22"/>
                      <w:lang w:val="it-IT"/>
                    </w:rPr>
                    <w:t>pct.496-499</w:t>
                  </w:r>
                  <w:r w:rsidRPr="00A24080">
                    <w:rPr>
                      <w:sz w:val="22"/>
                      <w:szCs w:val="22"/>
                      <w:lang w:val="it-IT"/>
                    </w:rPr>
                    <w:t xml:space="preserve"> din Regulamentul  nr. </w:t>
                  </w:r>
                  <w:r w:rsidR="00FE51E6" w:rsidRPr="00A24080">
                    <w:rPr>
                      <w:sz w:val="22"/>
                      <w:szCs w:val="22"/>
                      <w:lang w:val="it-IT"/>
                    </w:rPr>
                    <w:t>XX/2026</w:t>
                  </w:r>
                  <w:r w:rsidRPr="00A24080">
                    <w:rPr>
                      <w:sz w:val="22"/>
                      <w:szCs w:val="22"/>
                      <w:lang w:val="it-IT"/>
                    </w:rPr>
                    <w:t>. În consecință, pot fi raportate în același timp atât pozițiile lungi, cât și pozițiile scurte.</w:t>
                  </w:r>
                </w:p>
                <w:p w14:paraId="57A18DA4"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0BACD55F" w14:textId="77777777" w:rsidR="002C6ADD" w:rsidRPr="00A24080" w:rsidRDefault="002C6ADD" w:rsidP="0028208B">
            <w:pPr>
              <w:ind w:right="90"/>
              <w:rPr>
                <w:sz w:val="22"/>
                <w:szCs w:val="22"/>
                <w:lang w:val="ro-RO"/>
              </w:rPr>
            </w:pPr>
          </w:p>
        </w:tc>
        <w:tc>
          <w:tcPr>
            <w:tcW w:w="1418" w:type="dxa"/>
          </w:tcPr>
          <w:p w14:paraId="00824D6F" w14:textId="3DD2FB9A" w:rsidR="002C6ADD"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1E141BA" w14:textId="77777777" w:rsidR="002C6ADD" w:rsidRPr="00A24080" w:rsidRDefault="002C6ADD" w:rsidP="0028208B">
            <w:pPr>
              <w:jc w:val="both"/>
              <w:rPr>
                <w:bCs/>
                <w:sz w:val="22"/>
                <w:szCs w:val="22"/>
                <w:lang w:val="ro-RO"/>
              </w:rPr>
            </w:pPr>
          </w:p>
        </w:tc>
      </w:tr>
      <w:tr w:rsidR="002C6ADD" w:rsidRPr="00A24080" w14:paraId="05D32F6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4496FAAE" w14:textId="77777777" w:rsidTr="003146FA">
              <w:tc>
                <w:tcPr>
                  <w:tcW w:w="1056" w:type="dxa"/>
                </w:tcPr>
                <w:p w14:paraId="1F6E7329" w14:textId="6A6355A4"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0060-0080</w:t>
                  </w:r>
                </w:p>
              </w:tc>
              <w:tc>
                <w:tcPr>
                  <w:tcW w:w="3861" w:type="dxa"/>
                </w:tcPr>
                <w:p w14:paraId="7FD9692A"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52A4625F"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eastAsia="de-DE"/>
                    </w:rPr>
                  </w:pPr>
                </w:p>
                <w:p w14:paraId="075EC8EE"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Articolul 352 alineatul (4) a treia teză și articolele 353 și 354 din Regulamentul (UE) nr. 575/2013 </w:t>
                  </w:r>
                </w:p>
                <w:p w14:paraId="6B44AC68"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42CB4DC0"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6FAE041D" w14:textId="77777777" w:rsidTr="003146FA">
              <w:tc>
                <w:tcPr>
                  <w:tcW w:w="1056" w:type="dxa"/>
                </w:tcPr>
                <w:p w14:paraId="4F9CDCF6"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0060-0080</w:t>
                  </w:r>
                </w:p>
              </w:tc>
              <w:tc>
                <w:tcPr>
                  <w:tcW w:w="3861" w:type="dxa"/>
                </w:tcPr>
                <w:p w14:paraId="4FD59B1D"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50AC87E4"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eastAsia="de-DE"/>
                    </w:rPr>
                  </w:pPr>
                </w:p>
                <w:p w14:paraId="05E6264D" w14:textId="51C108E8" w:rsidR="002C6ADD" w:rsidRPr="00A24080" w:rsidRDefault="00FE51E6"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Pct.501</w:t>
                  </w:r>
                  <w:r w:rsidR="002C6ADD" w:rsidRPr="00A24080">
                    <w:rPr>
                      <w:sz w:val="22"/>
                      <w:szCs w:val="22"/>
                      <w:lang w:val="ro-RO"/>
                    </w:rPr>
                    <w:t xml:space="preserve"> a treia </w:t>
                  </w:r>
                  <w:r w:rsidRPr="00A24080">
                    <w:rPr>
                      <w:sz w:val="22"/>
                      <w:szCs w:val="22"/>
                      <w:lang w:val="ro-RO"/>
                    </w:rPr>
                    <w:t xml:space="preserve">propoziție </w:t>
                  </w:r>
                  <w:r w:rsidR="002C6ADD" w:rsidRPr="00A24080">
                    <w:rPr>
                      <w:sz w:val="22"/>
                      <w:szCs w:val="22"/>
                      <w:lang w:val="ro-RO"/>
                    </w:rPr>
                    <w:t xml:space="preserve">și </w:t>
                  </w:r>
                  <w:r w:rsidR="000A1E61" w:rsidRPr="00A24080">
                    <w:rPr>
                      <w:sz w:val="22"/>
                      <w:szCs w:val="22"/>
                      <w:lang w:val="ro-RO"/>
                    </w:rPr>
                    <w:t>titlul II capitolul V secțiunile 3 și 4</w:t>
                  </w:r>
                  <w:r w:rsidR="002C6ADD" w:rsidRPr="00A24080">
                    <w:rPr>
                      <w:sz w:val="22"/>
                      <w:szCs w:val="22"/>
                      <w:lang w:val="ro-RO"/>
                    </w:rPr>
                    <w:t xml:space="preserve"> din Regulamentul  nr. </w:t>
                  </w:r>
                  <w:r w:rsidR="000A1E61" w:rsidRPr="00A24080">
                    <w:rPr>
                      <w:sz w:val="22"/>
                      <w:szCs w:val="22"/>
                      <w:lang w:val="ro-RO"/>
                    </w:rPr>
                    <w:t>XX/2026</w:t>
                  </w:r>
                  <w:r w:rsidR="002C6ADD" w:rsidRPr="00A24080">
                    <w:rPr>
                      <w:sz w:val="22"/>
                      <w:szCs w:val="22"/>
                      <w:lang w:val="ro-RO"/>
                    </w:rPr>
                    <w:t xml:space="preserve"> </w:t>
                  </w:r>
                </w:p>
                <w:p w14:paraId="6957FDBC"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0C729ED0" w14:textId="77777777" w:rsidR="002C6ADD" w:rsidRPr="00A24080" w:rsidRDefault="002C6ADD" w:rsidP="0028208B">
            <w:pPr>
              <w:ind w:right="90"/>
              <w:rPr>
                <w:sz w:val="22"/>
                <w:szCs w:val="22"/>
                <w:lang w:val="ro-RO"/>
              </w:rPr>
            </w:pPr>
          </w:p>
        </w:tc>
        <w:tc>
          <w:tcPr>
            <w:tcW w:w="1418" w:type="dxa"/>
          </w:tcPr>
          <w:p w14:paraId="24433FCC" w14:textId="713EE322" w:rsidR="002C6ADD"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2F32B5C" w14:textId="77777777" w:rsidR="002C6ADD" w:rsidRPr="00A24080" w:rsidRDefault="002C6ADD" w:rsidP="0028208B">
            <w:pPr>
              <w:jc w:val="both"/>
              <w:rPr>
                <w:bCs/>
                <w:sz w:val="22"/>
                <w:szCs w:val="22"/>
                <w:lang w:val="ro-RO"/>
              </w:rPr>
            </w:pPr>
          </w:p>
        </w:tc>
      </w:tr>
      <w:tr w:rsidR="002C6ADD" w:rsidRPr="00A24080" w14:paraId="12158F57"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542C069C" w14:textId="77777777" w:rsidTr="003146FA">
              <w:tc>
                <w:tcPr>
                  <w:tcW w:w="1056" w:type="dxa"/>
                </w:tcPr>
                <w:p w14:paraId="6F1BCA70" w14:textId="19697B84"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0060-0070</w:t>
                  </w:r>
                </w:p>
              </w:tc>
              <w:tc>
                <w:tcPr>
                  <w:tcW w:w="3861" w:type="dxa"/>
                </w:tcPr>
                <w:p w14:paraId="7EB44028"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b/>
                      <w:sz w:val="22"/>
                      <w:szCs w:val="22"/>
                      <w:u w:val="single"/>
                      <w:lang w:val="it-IT"/>
                    </w:rPr>
                    <w:t>POZIȚII CARE FAC OBIECTUL UNEI CERINȚE DE CAPITAL (LUNGI ȘI SCURTE)</w:t>
                  </w:r>
                </w:p>
                <w:p w14:paraId="640E2A20"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lungi și scurte pentru fiecare valută se calculează prin deducerea totalului pozițiilor scurte din totalul pozițiilor lungi.</w:t>
                  </w:r>
                </w:p>
                <w:p w14:paraId="0E730789"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lungi pentru fiecare operațiune într-o valută se însumează pentru a obține poziția netă lungă în valuta respectivă.</w:t>
                  </w:r>
                </w:p>
                <w:p w14:paraId="6DF4DA8C"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scurte pentru fiecare operațiune într-o valută se însumează pentru a obține poziția netă scurtă în valuta respectivă.</w:t>
                  </w:r>
                </w:p>
                <w:p w14:paraId="183213BD" w14:textId="5FE3162C"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lastRenderedPageBreak/>
                    <w:t>Pozițiile în alte valute decât moneda de raportare care nu sunt puse în corespondență se adaugă la pozițiile care fac obiectul unor cerințe de capital pentru alte valute (rândul 030) în coloana 060 sau 070, în funcție de dispunerea lor scurtă sau lungă.</w:t>
                  </w:r>
                </w:p>
              </w:tc>
            </w:tr>
          </w:tbl>
          <w:p w14:paraId="67153440"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5B05CF7E" w14:textId="77777777" w:rsidTr="003146FA">
              <w:tc>
                <w:tcPr>
                  <w:tcW w:w="1056" w:type="dxa"/>
                </w:tcPr>
                <w:p w14:paraId="01E0BF2E"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lastRenderedPageBreak/>
                    <w:t>0060-0070</w:t>
                  </w:r>
                </w:p>
              </w:tc>
              <w:tc>
                <w:tcPr>
                  <w:tcW w:w="3861" w:type="dxa"/>
                </w:tcPr>
                <w:p w14:paraId="2612F7E4"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b/>
                      <w:sz w:val="22"/>
                      <w:szCs w:val="22"/>
                      <w:u w:val="single"/>
                      <w:lang w:val="it-IT"/>
                    </w:rPr>
                    <w:t>POZIȚII CARE FAC OBIECTUL UNEI CERINȚE DE CAPITAL (LUNGI ȘI SCURTE)</w:t>
                  </w:r>
                </w:p>
                <w:p w14:paraId="40BCB7CD"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lungi și scurte pentru fiecare valută se calculează prin deducerea totalului pozițiilor scurte din totalul pozițiilor lungi.</w:t>
                  </w:r>
                </w:p>
                <w:p w14:paraId="22E41961"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lungi pentru fiecare operațiune într-o valută se însumează pentru a obține poziția netă lungă în valuta respectivă.</w:t>
                  </w:r>
                </w:p>
                <w:p w14:paraId="23AE52EA"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nete scurte pentru fiecare operațiune într-o valută se însumează pentru a obține poziția netă scurtă în valuta respectivă.</w:t>
                  </w:r>
                </w:p>
                <w:p w14:paraId="7AF66ECE" w14:textId="23563BBA"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lastRenderedPageBreak/>
                    <w:t xml:space="preserve">Pozițiile în alte valute decât moneda de raportare care nu sunt puse în corespondență se adaugă la pozițiile care fac obiectul unor cerințe de capital pentru alte valute (rândul </w:t>
                  </w:r>
                  <w:r w:rsidR="000A1E61" w:rsidRPr="00A24080">
                    <w:rPr>
                      <w:sz w:val="22"/>
                      <w:szCs w:val="22"/>
                      <w:lang w:val="it-IT"/>
                    </w:rPr>
                    <w:t>0</w:t>
                  </w:r>
                  <w:r w:rsidRPr="00A24080">
                    <w:rPr>
                      <w:sz w:val="22"/>
                      <w:szCs w:val="22"/>
                      <w:lang w:val="it-IT"/>
                    </w:rPr>
                    <w:t xml:space="preserve">030) în coloana </w:t>
                  </w:r>
                  <w:r w:rsidR="000A1E61" w:rsidRPr="00A24080">
                    <w:rPr>
                      <w:sz w:val="22"/>
                      <w:szCs w:val="22"/>
                      <w:lang w:val="it-IT"/>
                    </w:rPr>
                    <w:t>0</w:t>
                  </w:r>
                  <w:r w:rsidRPr="00A24080">
                    <w:rPr>
                      <w:sz w:val="22"/>
                      <w:szCs w:val="22"/>
                      <w:lang w:val="it-IT"/>
                    </w:rPr>
                    <w:t xml:space="preserve">060 sau </w:t>
                  </w:r>
                  <w:r w:rsidR="000A1E61" w:rsidRPr="00A24080">
                    <w:rPr>
                      <w:sz w:val="22"/>
                      <w:szCs w:val="22"/>
                      <w:lang w:val="it-IT"/>
                    </w:rPr>
                    <w:t>0</w:t>
                  </w:r>
                  <w:r w:rsidRPr="00A24080">
                    <w:rPr>
                      <w:sz w:val="22"/>
                      <w:szCs w:val="22"/>
                      <w:lang w:val="it-IT"/>
                    </w:rPr>
                    <w:t>070, în funcție de dispunerea lor scurtă sau lungă.</w:t>
                  </w:r>
                </w:p>
              </w:tc>
            </w:tr>
          </w:tbl>
          <w:p w14:paraId="338267AC" w14:textId="77777777" w:rsidR="002C6ADD" w:rsidRPr="00A24080" w:rsidRDefault="002C6ADD" w:rsidP="0028208B">
            <w:pPr>
              <w:ind w:right="90"/>
              <w:rPr>
                <w:sz w:val="22"/>
                <w:szCs w:val="22"/>
                <w:lang w:val="ro-RO"/>
              </w:rPr>
            </w:pPr>
          </w:p>
        </w:tc>
        <w:tc>
          <w:tcPr>
            <w:tcW w:w="1418" w:type="dxa"/>
          </w:tcPr>
          <w:p w14:paraId="2CD004F5" w14:textId="777FC668" w:rsidR="002C6ADD"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35AEBD1" w14:textId="77777777" w:rsidR="002C6ADD" w:rsidRPr="00A24080" w:rsidRDefault="002C6ADD" w:rsidP="0028208B">
            <w:pPr>
              <w:jc w:val="both"/>
              <w:rPr>
                <w:bCs/>
                <w:sz w:val="22"/>
                <w:szCs w:val="22"/>
                <w:lang w:val="ro-RO"/>
              </w:rPr>
            </w:pPr>
          </w:p>
        </w:tc>
      </w:tr>
      <w:tr w:rsidR="002C6ADD" w:rsidRPr="00A24080" w14:paraId="61BE249F"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457FBA39" w14:textId="77777777" w:rsidTr="003146FA">
              <w:tc>
                <w:tcPr>
                  <w:tcW w:w="1056" w:type="dxa"/>
                </w:tcPr>
                <w:p w14:paraId="38067D6B" w14:textId="5A2F3633"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603F2954"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CARE FAC OBIECTUL UNEI CERINȚE DE CAPITAL (PUSE ÎN CORESPONDENȚĂ)</w:t>
                  </w:r>
                </w:p>
                <w:p w14:paraId="6C06372D" w14:textId="674868A3"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puse în corespondență pentru valute strâns corelate.</w:t>
                  </w:r>
                </w:p>
              </w:tc>
            </w:tr>
          </w:tbl>
          <w:p w14:paraId="5FC00695"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439DE9DA" w14:textId="77777777" w:rsidTr="003146FA">
              <w:tc>
                <w:tcPr>
                  <w:tcW w:w="1056" w:type="dxa"/>
                </w:tcPr>
                <w:p w14:paraId="3D55165A"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04475C7B"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CARE FAC OBIECTUL UNEI CERINȚE DE CAPITAL (PUSE ÎN CORESPONDENȚĂ)</w:t>
                  </w:r>
                </w:p>
                <w:p w14:paraId="40B38FBC"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puse în corespondență pentru valute strâns corelate.</w:t>
                  </w:r>
                </w:p>
              </w:tc>
            </w:tr>
          </w:tbl>
          <w:p w14:paraId="64C960D6" w14:textId="77777777" w:rsidR="002C6ADD" w:rsidRPr="00A24080" w:rsidRDefault="002C6ADD" w:rsidP="0028208B">
            <w:pPr>
              <w:ind w:right="90"/>
              <w:rPr>
                <w:sz w:val="22"/>
                <w:szCs w:val="22"/>
                <w:lang w:val="ro-RO"/>
              </w:rPr>
            </w:pPr>
          </w:p>
        </w:tc>
        <w:tc>
          <w:tcPr>
            <w:tcW w:w="1418" w:type="dxa"/>
          </w:tcPr>
          <w:p w14:paraId="1C94E25D" w14:textId="591475F0" w:rsidR="002C6ADD"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6BCBD7D" w14:textId="77777777" w:rsidR="002C6ADD" w:rsidRPr="00A24080" w:rsidRDefault="002C6ADD" w:rsidP="0028208B">
            <w:pPr>
              <w:jc w:val="both"/>
              <w:rPr>
                <w:bCs/>
                <w:sz w:val="22"/>
                <w:szCs w:val="22"/>
                <w:lang w:val="ro-RO"/>
              </w:rPr>
            </w:pPr>
          </w:p>
        </w:tc>
      </w:tr>
      <w:tr w:rsidR="002C6ADD" w:rsidRPr="00A24080" w14:paraId="4200E8D7"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2387D52E" w14:textId="77777777" w:rsidTr="003146FA">
              <w:tc>
                <w:tcPr>
                  <w:tcW w:w="1056" w:type="dxa"/>
                </w:tcPr>
                <w:p w14:paraId="501806BB" w14:textId="0443468D"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tcPr>
                <w:p w14:paraId="23F62FD2"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16A9D5F9"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pt-BR"/>
                    </w:rPr>
                  </w:pPr>
                  <w:r w:rsidRPr="00A24080">
                    <w:rPr>
                      <w:sz w:val="22"/>
                      <w:szCs w:val="22"/>
                      <w:lang w:val="pt-BR"/>
                    </w:rPr>
                    <w:t xml:space="preserve">Cerința de fonduri proprii pentru orice poziție relevantă în conformitate cu partea a treia titlul IV capitolul 3 din Regulamentul (UE) nr. 575/2013, înainte de aplicarea factorului de multiplicare în conformitate cu articolul 325 alineatul (2) litera (b) din regulamentul respectiv. </w:t>
                  </w:r>
                </w:p>
                <w:p w14:paraId="44C70E99"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7A856E5B"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00DDFD92" w14:textId="77777777" w:rsidTr="003146FA">
              <w:tc>
                <w:tcPr>
                  <w:tcW w:w="1056" w:type="dxa"/>
                </w:tcPr>
                <w:p w14:paraId="1C211FC6"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tcPr>
                <w:p w14:paraId="3DCC9EA9"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6DEF87EB" w14:textId="3F84F251"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pt-BR"/>
                    </w:rPr>
                  </w:pPr>
                  <w:r w:rsidRPr="00A24080">
                    <w:rPr>
                      <w:sz w:val="22"/>
                      <w:szCs w:val="22"/>
                      <w:lang w:val="pt-BR"/>
                    </w:rPr>
                    <w:t xml:space="preserve">Cerința de fonduri proprii pentru orice poziție relevantă în conformitate cu </w:t>
                  </w:r>
                  <w:r w:rsidR="000A1E61" w:rsidRPr="00A24080">
                    <w:rPr>
                      <w:sz w:val="22"/>
                      <w:szCs w:val="22"/>
                      <w:lang w:val="pt-BR"/>
                    </w:rPr>
                    <w:t>titlul II capitolul V</w:t>
                  </w:r>
                  <w:r w:rsidRPr="00A24080">
                    <w:rPr>
                      <w:sz w:val="22"/>
                      <w:szCs w:val="22"/>
                      <w:lang w:val="pt-BR"/>
                    </w:rPr>
                    <w:t xml:space="preserve"> din Regulamentul  nr. </w:t>
                  </w:r>
                  <w:r w:rsidR="000A1E61" w:rsidRPr="00A24080">
                    <w:rPr>
                      <w:sz w:val="22"/>
                      <w:szCs w:val="22"/>
                      <w:lang w:val="pt-BR"/>
                    </w:rPr>
                    <w:t>XX/2026</w:t>
                  </w:r>
                  <w:r w:rsidRPr="00A24080">
                    <w:rPr>
                      <w:sz w:val="22"/>
                      <w:szCs w:val="22"/>
                      <w:lang w:val="pt-BR"/>
                    </w:rPr>
                    <w:t xml:space="preserve">, înainte de aplicarea factorului de multiplicare în conformitate cu </w:t>
                  </w:r>
                  <w:r w:rsidR="00AF080D" w:rsidRPr="00A24080">
                    <w:rPr>
                      <w:sz w:val="22"/>
                      <w:szCs w:val="22"/>
                      <w:lang w:val="pt-BR"/>
                    </w:rPr>
                    <w:t>subpct.71.2</w:t>
                  </w:r>
                  <w:r w:rsidRPr="00A24080">
                    <w:rPr>
                      <w:sz w:val="22"/>
                      <w:szCs w:val="22"/>
                      <w:lang w:val="pt-BR"/>
                    </w:rPr>
                    <w:t xml:space="preserve"> din regulamentul respectiv. </w:t>
                  </w:r>
                </w:p>
                <w:p w14:paraId="193E2A00"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6BE7900B" w14:textId="77777777" w:rsidR="002C6ADD" w:rsidRPr="00A24080" w:rsidRDefault="002C6ADD" w:rsidP="0028208B">
            <w:pPr>
              <w:ind w:right="90"/>
              <w:rPr>
                <w:sz w:val="22"/>
                <w:szCs w:val="22"/>
                <w:lang w:val="ro-RO"/>
              </w:rPr>
            </w:pPr>
          </w:p>
        </w:tc>
        <w:tc>
          <w:tcPr>
            <w:tcW w:w="1418" w:type="dxa"/>
          </w:tcPr>
          <w:p w14:paraId="2D8DE0EC" w14:textId="5FD60992" w:rsidR="002C6ADD"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6FA7901" w14:textId="77777777" w:rsidR="002C6ADD" w:rsidRPr="00A24080" w:rsidRDefault="002C6ADD" w:rsidP="0028208B">
            <w:pPr>
              <w:jc w:val="both"/>
              <w:rPr>
                <w:bCs/>
                <w:sz w:val="22"/>
                <w:szCs w:val="22"/>
                <w:lang w:val="ro-RO"/>
              </w:rPr>
            </w:pPr>
          </w:p>
        </w:tc>
      </w:tr>
      <w:tr w:rsidR="002C6ADD" w:rsidRPr="00EE7DB0" w14:paraId="74A50920"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4348D769" w14:textId="77777777" w:rsidTr="003146FA">
              <w:tc>
                <w:tcPr>
                  <w:tcW w:w="1056" w:type="dxa"/>
                </w:tcPr>
                <w:p w14:paraId="1F8980D0" w14:textId="7216BAF8"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tcPr>
                <w:p w14:paraId="6D0F9F72" w14:textId="77777777" w:rsidR="002C6ADD" w:rsidRPr="00A24080" w:rsidRDefault="002C6ADD"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36080075" w14:textId="77777777" w:rsidR="002C6ADD" w:rsidRPr="00A24080" w:rsidRDefault="002C6ADD" w:rsidP="0028208B">
                  <w:pPr>
                    <w:framePr w:hSpace="180" w:wrap="around" w:vAnchor="text" w:hAnchor="text" w:x="-612" w:y="1"/>
                    <w:tabs>
                      <w:tab w:val="left" w:pos="1665"/>
                    </w:tabs>
                    <w:suppressAutoHyphens/>
                    <w:autoSpaceDE w:val="0"/>
                    <w:autoSpaceDN w:val="0"/>
                    <w:adjustRightInd w:val="0"/>
                    <w:suppressOverlap/>
                    <w:jc w:val="both"/>
                    <w:rPr>
                      <w:sz w:val="22"/>
                      <w:szCs w:val="22"/>
                      <w:lang w:val="it-IT"/>
                    </w:rPr>
                  </w:pPr>
                  <w:r w:rsidRPr="00A24080">
                    <w:rPr>
                      <w:sz w:val="22"/>
                      <w:szCs w:val="22"/>
                      <w:lang w:val="it-IT"/>
                    </w:rPr>
                    <w:t>Articolul 92 alineatul (4) litera (c) din Regulamentul (UE) nr. 575/2013.</w:t>
                  </w:r>
                </w:p>
                <w:p w14:paraId="791F5D3D" w14:textId="711DBC3D" w:rsidR="002C6ADD" w:rsidRPr="00A24080" w:rsidRDefault="002C6ADD" w:rsidP="0028208B">
                  <w:pPr>
                    <w:framePr w:hSpace="180" w:wrap="around" w:vAnchor="text" w:hAnchor="text" w:x="-612" w:y="1"/>
                    <w:tabs>
                      <w:tab w:val="left" w:pos="1665"/>
                    </w:tabs>
                    <w:suppressAutoHyphens/>
                    <w:autoSpaceDE w:val="0"/>
                    <w:autoSpaceDN w:val="0"/>
                    <w:adjustRightInd w:val="0"/>
                    <w:suppressOverlap/>
                    <w:jc w:val="both"/>
                    <w:rPr>
                      <w:sz w:val="22"/>
                      <w:szCs w:val="22"/>
                      <w:lang w:val="it-IT"/>
                    </w:rPr>
                  </w:pPr>
                  <w:r w:rsidRPr="00A24080">
                    <w:rPr>
                      <w:sz w:val="22"/>
                      <w:szCs w:val="22"/>
                      <w:lang w:val="it-IT"/>
                    </w:rPr>
                    <w:t xml:space="preserve">Rezultatul multiplicării cerințelor de fonduri proprii cu 12,5 în conformitate cu articolul 92 alineatul (6) litera (b) din Regulamentul (UE) nr. 575/2013 și cu factorul de multiplicare în conformitate cu articolul 325 alineatul (2) litera (b) din regulamentul respectiv. </w:t>
                  </w:r>
                </w:p>
              </w:tc>
            </w:tr>
          </w:tbl>
          <w:p w14:paraId="2B9A12E8" w14:textId="77777777" w:rsidR="002C6ADD" w:rsidRPr="00A24080" w:rsidRDefault="002C6ADD"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55EFF1D8" w14:textId="77777777" w:rsidTr="003146FA">
              <w:tc>
                <w:tcPr>
                  <w:tcW w:w="1056" w:type="dxa"/>
                </w:tcPr>
                <w:p w14:paraId="5F558D06"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tcPr>
                <w:p w14:paraId="701007DA" w14:textId="77777777" w:rsidR="002C6ADD" w:rsidRPr="00A24080" w:rsidRDefault="002C6ADD"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4D207570" w14:textId="6A50DD39" w:rsidR="002C6ADD" w:rsidRPr="00A24080" w:rsidRDefault="009D1C4B" w:rsidP="0028208B">
                  <w:pPr>
                    <w:framePr w:hSpace="180" w:wrap="around" w:vAnchor="text" w:hAnchor="text" w:x="-612" w:y="1"/>
                    <w:tabs>
                      <w:tab w:val="left" w:pos="1665"/>
                    </w:tabs>
                    <w:suppressAutoHyphens/>
                    <w:autoSpaceDE w:val="0"/>
                    <w:autoSpaceDN w:val="0"/>
                    <w:adjustRightInd w:val="0"/>
                    <w:suppressOverlap/>
                    <w:jc w:val="both"/>
                    <w:rPr>
                      <w:sz w:val="22"/>
                      <w:szCs w:val="22"/>
                      <w:lang w:val="en-US"/>
                    </w:rPr>
                  </w:pPr>
                  <w:r w:rsidRPr="00A24080">
                    <w:rPr>
                      <w:sz w:val="22"/>
                      <w:szCs w:val="22"/>
                      <w:lang w:val="en-US"/>
                    </w:rPr>
                    <w:t>Pct.132 subpct.3) din Regulamentul nr.109/2018</w:t>
                  </w:r>
                  <w:r w:rsidR="002C6ADD" w:rsidRPr="00A24080">
                    <w:rPr>
                      <w:sz w:val="22"/>
                      <w:szCs w:val="22"/>
                      <w:lang w:val="en-US"/>
                    </w:rPr>
                    <w:t>.</w:t>
                  </w:r>
                </w:p>
                <w:p w14:paraId="2CF88AC2" w14:textId="45BC9E4A" w:rsidR="002C6ADD" w:rsidRPr="00A24080" w:rsidRDefault="002C6ADD" w:rsidP="0028208B">
                  <w:pPr>
                    <w:framePr w:hSpace="180" w:wrap="around" w:vAnchor="text" w:hAnchor="text" w:x="-612" w:y="1"/>
                    <w:tabs>
                      <w:tab w:val="left" w:pos="1665"/>
                    </w:tabs>
                    <w:suppressAutoHyphens/>
                    <w:autoSpaceDE w:val="0"/>
                    <w:autoSpaceDN w:val="0"/>
                    <w:adjustRightInd w:val="0"/>
                    <w:suppressOverlap/>
                    <w:jc w:val="both"/>
                    <w:rPr>
                      <w:sz w:val="22"/>
                      <w:szCs w:val="22"/>
                      <w:lang w:val="en-US"/>
                    </w:rPr>
                  </w:pPr>
                  <w:r w:rsidRPr="00A24080">
                    <w:rPr>
                      <w:sz w:val="22"/>
                      <w:szCs w:val="22"/>
                      <w:lang w:val="en-US"/>
                    </w:rPr>
                    <w:t xml:space="preserve">Rezultatul multiplicării cerințelor de fonduri proprii cu </w:t>
                  </w:r>
                  <w:r w:rsidR="004205A6" w:rsidRPr="00A24080">
                    <w:rPr>
                      <w:sz w:val="22"/>
                      <w:szCs w:val="22"/>
                      <w:lang w:val="en-US"/>
                    </w:rPr>
                    <w:t>10,0</w:t>
                  </w:r>
                  <w:r w:rsidRPr="00A24080">
                    <w:rPr>
                      <w:sz w:val="22"/>
                      <w:szCs w:val="22"/>
                      <w:lang w:val="en-US"/>
                    </w:rPr>
                    <w:t xml:space="preserve"> în conformitate cu </w:t>
                  </w:r>
                  <w:r w:rsidR="00FF6D39" w:rsidRPr="00A24080">
                    <w:rPr>
                      <w:sz w:val="22"/>
                      <w:szCs w:val="22"/>
                      <w:lang w:val="en-US"/>
                    </w:rPr>
                    <w:t xml:space="preserve">pct.133 subpct.2) </w:t>
                  </w:r>
                  <w:r w:rsidRPr="00A24080">
                    <w:rPr>
                      <w:sz w:val="22"/>
                      <w:szCs w:val="22"/>
                      <w:lang w:val="en-US"/>
                    </w:rPr>
                    <w:t xml:space="preserve">din </w:t>
                  </w:r>
                  <w:proofErr w:type="gramStart"/>
                  <w:r w:rsidRPr="00A24080">
                    <w:rPr>
                      <w:sz w:val="22"/>
                      <w:szCs w:val="22"/>
                      <w:lang w:val="en-US"/>
                    </w:rPr>
                    <w:t>Regulamentul  nr</w:t>
                  </w:r>
                  <w:proofErr w:type="gramEnd"/>
                  <w:r w:rsidRPr="00A24080">
                    <w:rPr>
                      <w:sz w:val="22"/>
                      <w:szCs w:val="22"/>
                      <w:lang w:val="en-US"/>
                    </w:rPr>
                    <w:t xml:space="preserve">. </w:t>
                  </w:r>
                  <w:r w:rsidR="00EC669A" w:rsidRPr="00A24080">
                    <w:rPr>
                      <w:sz w:val="22"/>
                      <w:szCs w:val="22"/>
                      <w:lang w:val="en-US"/>
                    </w:rPr>
                    <w:t>109/2018</w:t>
                  </w:r>
                  <w:r w:rsidRPr="00A24080">
                    <w:rPr>
                      <w:sz w:val="22"/>
                      <w:szCs w:val="22"/>
                      <w:lang w:val="en-US"/>
                    </w:rPr>
                    <w:t xml:space="preserve"> și cu factorul de multiplicare în conformitate cu </w:t>
                  </w:r>
                  <w:r w:rsidR="00AF080D" w:rsidRPr="00A24080">
                    <w:rPr>
                      <w:sz w:val="22"/>
                      <w:szCs w:val="22"/>
                      <w:lang w:val="en-US"/>
                    </w:rPr>
                    <w:t>subpct.71.2</w:t>
                  </w:r>
                  <w:r w:rsidRPr="00A24080">
                    <w:rPr>
                      <w:sz w:val="22"/>
                      <w:szCs w:val="22"/>
                      <w:lang w:val="en-US"/>
                    </w:rPr>
                    <w:t xml:space="preserve"> din </w:t>
                  </w:r>
                  <w:r w:rsidR="00EC669A" w:rsidRPr="00A24080">
                    <w:rPr>
                      <w:sz w:val="22"/>
                      <w:szCs w:val="22"/>
                      <w:lang w:val="en-US"/>
                    </w:rPr>
                    <w:t>R</w:t>
                  </w:r>
                  <w:r w:rsidRPr="00A24080">
                    <w:rPr>
                      <w:sz w:val="22"/>
                      <w:szCs w:val="22"/>
                      <w:lang w:val="en-US"/>
                    </w:rPr>
                    <w:t xml:space="preserve">egulamentul </w:t>
                  </w:r>
                  <w:proofErr w:type="gramStart"/>
                  <w:r w:rsidR="00EC669A" w:rsidRPr="00A24080">
                    <w:rPr>
                      <w:sz w:val="22"/>
                      <w:szCs w:val="22"/>
                      <w:lang w:val="en-US"/>
                    </w:rPr>
                    <w:t>nr.XX</w:t>
                  </w:r>
                  <w:proofErr w:type="gramEnd"/>
                  <w:r w:rsidR="00EC669A" w:rsidRPr="00A24080">
                    <w:rPr>
                      <w:sz w:val="22"/>
                      <w:szCs w:val="22"/>
                      <w:lang w:val="en-US"/>
                    </w:rPr>
                    <w:t>/2026</w:t>
                  </w:r>
                  <w:r w:rsidRPr="00A24080">
                    <w:rPr>
                      <w:sz w:val="22"/>
                      <w:szCs w:val="22"/>
                      <w:lang w:val="en-US"/>
                    </w:rPr>
                    <w:t xml:space="preserve">. </w:t>
                  </w:r>
                </w:p>
              </w:tc>
            </w:tr>
          </w:tbl>
          <w:p w14:paraId="50D41B28" w14:textId="77777777" w:rsidR="002C6ADD" w:rsidRPr="00A24080" w:rsidRDefault="002C6ADD" w:rsidP="0028208B">
            <w:pPr>
              <w:ind w:right="90"/>
              <w:rPr>
                <w:sz w:val="22"/>
                <w:szCs w:val="22"/>
                <w:lang w:val="ro-RO"/>
              </w:rPr>
            </w:pPr>
          </w:p>
        </w:tc>
        <w:tc>
          <w:tcPr>
            <w:tcW w:w="1418" w:type="dxa"/>
          </w:tcPr>
          <w:p w14:paraId="7422B54E" w14:textId="1DDDEFD2" w:rsidR="002C6ADD" w:rsidRPr="00A24080" w:rsidRDefault="00A754B2"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3FBDB54" w14:textId="00BC53DB" w:rsidR="00A754B2" w:rsidRPr="00A24080" w:rsidRDefault="00A754B2" w:rsidP="0028208B">
            <w:pPr>
              <w:jc w:val="both"/>
              <w:rPr>
                <w:sz w:val="22"/>
                <w:szCs w:val="22"/>
                <w:lang w:val="ro-MD"/>
              </w:rPr>
            </w:pPr>
            <w:r w:rsidRPr="00A24080">
              <w:rPr>
                <w:sz w:val="22"/>
                <w:szCs w:val="22"/>
                <w:lang w:val="ro-RO"/>
              </w:rPr>
              <w:t>Până la data intrării în vigoare a Tratatului de aderare a Republicii Moldova la Uniunea Europeană în scopul calculului cuantumului expunerii la risc se aplică multiplicatorul cerințelor de fonduri proprii 10,0 (conform prevederilor Regulamentului nr.109/2018).</w:t>
            </w:r>
            <w:r w:rsidRPr="00A24080">
              <w:rPr>
                <w:rFonts w:eastAsiaTheme="minorHAnsi" w:cstheme="minorBidi"/>
                <w:kern w:val="2"/>
                <w:sz w:val="22"/>
                <w:szCs w:val="22"/>
                <w:lang w:val="ro-RO" w:eastAsia="en-US"/>
              </w:rPr>
              <w:t xml:space="preserve"> </w:t>
            </w:r>
            <w:r w:rsidRPr="00A24080">
              <w:rPr>
                <w:sz w:val="22"/>
                <w:szCs w:val="22"/>
                <w:lang w:val="ro-RO"/>
              </w:rPr>
              <w:t xml:space="preserve">De la data intrării în vigoare a Tratatului de aderare a Republicii Moldova la Uniunea Europeană băncile vor </w:t>
            </w:r>
            <w:r w:rsidRPr="00A24080">
              <w:rPr>
                <w:sz w:val="22"/>
                <w:szCs w:val="22"/>
                <w:lang w:val="ro-RO"/>
              </w:rPr>
              <w:lastRenderedPageBreak/>
              <w:t>multiplica cerințele de fonduri proprii cu 12,5.</w:t>
            </w:r>
          </w:p>
          <w:p w14:paraId="72926120" w14:textId="001A019B" w:rsidR="002C6ADD" w:rsidRPr="00A24080" w:rsidRDefault="002C6ADD" w:rsidP="0028208B">
            <w:pPr>
              <w:jc w:val="both"/>
              <w:rPr>
                <w:sz w:val="22"/>
                <w:szCs w:val="22"/>
                <w:lang w:val="ro-MD"/>
              </w:rPr>
            </w:pPr>
          </w:p>
        </w:tc>
      </w:tr>
      <w:tr w:rsidR="002C6ADD" w:rsidRPr="00EE7DB0" w14:paraId="426797E7"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A24080" w14:paraId="2B6214ED" w14:textId="77777777" w:rsidTr="002C6ADD">
              <w:tc>
                <w:tcPr>
                  <w:tcW w:w="4917" w:type="dxa"/>
                  <w:gridSpan w:val="2"/>
                  <w:shd w:val="clear" w:color="auto" w:fill="D0CECE" w:themeFill="background2" w:themeFillShade="E6"/>
                </w:tcPr>
                <w:p w14:paraId="42074154" w14:textId="296A7219" w:rsidR="002C6ADD" w:rsidRPr="00A24080" w:rsidRDefault="002C6ADD" w:rsidP="0028208B">
                  <w:pPr>
                    <w:framePr w:hSpace="180" w:wrap="around" w:vAnchor="text" w:hAnchor="text" w:x="-612" w:y="1"/>
                    <w:ind w:right="90"/>
                    <w:suppressOverlap/>
                    <w:jc w:val="both"/>
                    <w:rPr>
                      <w:b/>
                      <w:bCs/>
                      <w:sz w:val="22"/>
                      <w:szCs w:val="22"/>
                      <w:lang w:val="ro-RO"/>
                    </w:rPr>
                  </w:pPr>
                  <w:r w:rsidRPr="00A24080">
                    <w:rPr>
                      <w:b/>
                      <w:bCs/>
                      <w:sz w:val="22"/>
                      <w:szCs w:val="22"/>
                      <w:lang w:val="ro-RO"/>
                    </w:rPr>
                    <w:lastRenderedPageBreak/>
                    <w:t>Rânduri</w:t>
                  </w:r>
                </w:p>
              </w:tc>
            </w:tr>
            <w:tr w:rsidR="002C6ADD" w:rsidRPr="00EE7DB0" w14:paraId="5CA33B01" w14:textId="77777777" w:rsidTr="002C6ADD">
              <w:tc>
                <w:tcPr>
                  <w:tcW w:w="1056" w:type="dxa"/>
                </w:tcPr>
                <w:p w14:paraId="6CC980AB" w14:textId="02DCC7BA"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lang w:val="ro-RO"/>
                    </w:rPr>
                    <w:t>0010</w:t>
                  </w:r>
                </w:p>
              </w:tc>
              <w:tc>
                <w:tcPr>
                  <w:tcW w:w="3861" w:type="dxa"/>
                </w:tcPr>
                <w:p w14:paraId="6AE6D4D4"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TOTALE</w:t>
                  </w:r>
                </w:p>
                <w:p w14:paraId="0959FF49" w14:textId="671C0EF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Toate pozițiile în alte valute decât moneda de raportare și pozițiile în moneda de raportare care sunt luate în considerare în scopul articolului 354 din Regulamentul (UE) nr. 575/2013, precum și cerințele de fonduri proprii pentru riscul valutar corespunzătoare acestora menționate la articolul 92 alineatul (4) litera (c), ținând seama de articolul 352 alineatele (2) și (4) din Regulamentul (UE) nr. 575/2013 (pentru conversia în moneda de raportare).</w:t>
                  </w:r>
                </w:p>
              </w:tc>
            </w:tr>
          </w:tbl>
          <w:p w14:paraId="37E881CA"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A24080" w14:paraId="45674A6F" w14:textId="77777777" w:rsidTr="003146FA">
              <w:tc>
                <w:tcPr>
                  <w:tcW w:w="4917" w:type="dxa"/>
                  <w:gridSpan w:val="2"/>
                  <w:shd w:val="clear" w:color="auto" w:fill="D0CECE" w:themeFill="background2" w:themeFillShade="E6"/>
                </w:tcPr>
                <w:p w14:paraId="49E3DB77" w14:textId="77777777" w:rsidR="002C6ADD" w:rsidRPr="00A24080" w:rsidRDefault="002C6ADD" w:rsidP="0028208B">
                  <w:pPr>
                    <w:framePr w:hSpace="180" w:wrap="around" w:vAnchor="text" w:hAnchor="text" w:x="-612" w:y="1"/>
                    <w:ind w:right="90"/>
                    <w:suppressOverlap/>
                    <w:jc w:val="both"/>
                    <w:rPr>
                      <w:b/>
                      <w:bCs/>
                      <w:sz w:val="22"/>
                      <w:szCs w:val="22"/>
                      <w:lang w:val="ro-RO"/>
                    </w:rPr>
                  </w:pPr>
                  <w:r w:rsidRPr="00A24080">
                    <w:rPr>
                      <w:b/>
                      <w:bCs/>
                      <w:sz w:val="22"/>
                      <w:szCs w:val="22"/>
                      <w:lang w:val="ro-RO"/>
                    </w:rPr>
                    <w:t>Rânduri</w:t>
                  </w:r>
                </w:p>
              </w:tc>
            </w:tr>
            <w:tr w:rsidR="002C6ADD" w:rsidRPr="00EE7DB0" w14:paraId="14820948" w14:textId="77777777" w:rsidTr="003146FA">
              <w:tc>
                <w:tcPr>
                  <w:tcW w:w="1056" w:type="dxa"/>
                </w:tcPr>
                <w:p w14:paraId="269F54E0"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lang w:val="ro-RO"/>
                    </w:rPr>
                    <w:t>0010</w:t>
                  </w:r>
                </w:p>
              </w:tc>
              <w:tc>
                <w:tcPr>
                  <w:tcW w:w="3861" w:type="dxa"/>
                </w:tcPr>
                <w:p w14:paraId="4987D2F7" w14:textId="234940EB"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TOTALE</w:t>
                  </w:r>
                  <w:r w:rsidR="002862FD" w:rsidRPr="00EE7DB0">
                    <w:rPr>
                      <w:lang w:val="it-IT"/>
                    </w:rPr>
                    <w:t xml:space="preserve"> </w:t>
                  </w:r>
                  <w:r w:rsidR="002862FD" w:rsidRPr="002862FD">
                    <w:rPr>
                      <w:b/>
                      <w:sz w:val="22"/>
                      <w:szCs w:val="22"/>
                      <w:u w:val="single"/>
                      <w:lang w:val="ro-RO"/>
                    </w:rPr>
                    <w:t>ÎN VALUTE, ALTELE DECÂT MONEDA DE RAPORTARE</w:t>
                  </w:r>
                </w:p>
                <w:p w14:paraId="7AB53368" w14:textId="19E13CDA"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Toate pozițiile în alte valute decât moneda de raportare și pozițiile în moneda de raportare care sunt luate în considerare în scopul </w:t>
                  </w:r>
                  <w:r w:rsidR="005870B1" w:rsidRPr="00A24080">
                    <w:rPr>
                      <w:sz w:val="22"/>
                      <w:szCs w:val="22"/>
                      <w:lang w:val="ro-RO"/>
                    </w:rPr>
                    <w:t>titlului II capitolul V secțiunea 4 din Regulamentul nr.XX/2026</w:t>
                  </w:r>
                  <w:r w:rsidRPr="00A24080">
                    <w:rPr>
                      <w:sz w:val="22"/>
                      <w:szCs w:val="22"/>
                      <w:lang w:val="ro-RO"/>
                    </w:rPr>
                    <w:t xml:space="preserve">, precum și cerințele de fonduri proprii pentru riscul valutar corespunzătoare acestora menționate la </w:t>
                  </w:r>
                  <w:r w:rsidR="00EC669A" w:rsidRPr="00A24080">
                    <w:rPr>
                      <w:sz w:val="22"/>
                      <w:szCs w:val="22"/>
                      <w:lang w:val="ro-RO"/>
                    </w:rPr>
                    <w:t>pct.132 subpct.3) din Regulamentul nr.109/2018</w:t>
                  </w:r>
                  <w:r w:rsidRPr="00A24080">
                    <w:rPr>
                      <w:sz w:val="22"/>
                      <w:szCs w:val="22"/>
                      <w:lang w:val="ro-RO"/>
                    </w:rPr>
                    <w:t xml:space="preserve">, ținând seama de </w:t>
                  </w:r>
                  <w:r w:rsidR="00FE51E6" w:rsidRPr="00A24080">
                    <w:rPr>
                      <w:sz w:val="22"/>
                      <w:szCs w:val="22"/>
                      <w:lang w:val="ro-RO"/>
                    </w:rPr>
                    <w:t>pct.50</w:t>
                  </w:r>
                  <w:r w:rsidR="009D3E59" w:rsidRPr="00A24080">
                    <w:rPr>
                      <w:sz w:val="22"/>
                      <w:szCs w:val="22"/>
                      <w:lang w:val="ro-RO"/>
                    </w:rPr>
                    <w:t>1</w:t>
                  </w:r>
                  <w:r w:rsidRPr="00A24080">
                    <w:rPr>
                      <w:sz w:val="22"/>
                      <w:szCs w:val="22"/>
                      <w:lang w:val="ro-RO"/>
                    </w:rPr>
                    <w:t xml:space="preserve"> din Regulamentul  nr. </w:t>
                  </w:r>
                  <w:r w:rsidR="00FE51E6" w:rsidRPr="00A24080">
                    <w:rPr>
                      <w:sz w:val="22"/>
                      <w:szCs w:val="22"/>
                      <w:lang w:val="ro-RO"/>
                    </w:rPr>
                    <w:t>XX/2026</w:t>
                  </w:r>
                  <w:r w:rsidRPr="00A24080">
                    <w:rPr>
                      <w:sz w:val="22"/>
                      <w:szCs w:val="22"/>
                      <w:lang w:val="ro-RO"/>
                    </w:rPr>
                    <w:t xml:space="preserve"> (pentru conversia în moneda de raportare).</w:t>
                  </w:r>
                </w:p>
              </w:tc>
            </w:tr>
          </w:tbl>
          <w:p w14:paraId="6DC804D6" w14:textId="77777777" w:rsidR="002C6ADD" w:rsidRPr="00A24080" w:rsidRDefault="002C6ADD" w:rsidP="0028208B">
            <w:pPr>
              <w:ind w:right="90"/>
              <w:jc w:val="both"/>
              <w:rPr>
                <w:sz w:val="22"/>
                <w:szCs w:val="22"/>
                <w:lang w:val="ro-RO"/>
              </w:rPr>
            </w:pPr>
          </w:p>
        </w:tc>
        <w:tc>
          <w:tcPr>
            <w:tcW w:w="1418" w:type="dxa"/>
          </w:tcPr>
          <w:p w14:paraId="2D6E7982" w14:textId="7481AA57" w:rsidR="002C6ADD" w:rsidRPr="00A24080" w:rsidRDefault="00256E86"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2383C22" w14:textId="7E835AD0" w:rsidR="002C6ADD" w:rsidRPr="00A24080" w:rsidRDefault="00256E86" w:rsidP="0028208B">
            <w:pPr>
              <w:jc w:val="both"/>
              <w:rPr>
                <w:bCs/>
                <w:sz w:val="22"/>
                <w:szCs w:val="22"/>
                <w:lang w:val="ro-RO"/>
              </w:rPr>
            </w:pPr>
            <w:r w:rsidRPr="00A24080">
              <w:rPr>
                <w:sz w:val="22"/>
                <w:szCs w:val="22"/>
                <w:lang w:val="ro-RO"/>
              </w:rPr>
              <w:t>Trimiterea la alineatul (2) din articolul 352 al Regulamentului (UE) nr.575/2013 nu a fost transpusă deoarece alineatul respectiv a fost abrogat</w:t>
            </w:r>
            <w:r w:rsidR="002F6574" w:rsidRPr="00A24080">
              <w:rPr>
                <w:sz w:val="22"/>
                <w:szCs w:val="22"/>
                <w:lang w:val="ro-RO"/>
              </w:rPr>
              <w:t xml:space="preserve"> prin Regulamentul (UE) nr. 2024/1623</w:t>
            </w:r>
            <w:r w:rsidRPr="00A24080">
              <w:rPr>
                <w:sz w:val="22"/>
                <w:szCs w:val="22"/>
                <w:lang w:val="ro-RO"/>
              </w:rPr>
              <w:t>.</w:t>
            </w:r>
            <w:r w:rsidR="002862FD" w:rsidRPr="00EE7DB0">
              <w:rPr>
                <w:lang w:val="ro-RO"/>
              </w:rPr>
              <w:t xml:space="preserve"> </w:t>
            </w:r>
            <w:r w:rsidR="002862FD" w:rsidRPr="002862FD">
              <w:rPr>
                <w:sz w:val="22"/>
                <w:szCs w:val="22"/>
                <w:lang w:val="ro-RO"/>
              </w:rPr>
              <w:t xml:space="preserve">Denumirea </w:t>
            </w:r>
            <w:r w:rsidR="002862FD">
              <w:rPr>
                <w:sz w:val="22"/>
                <w:szCs w:val="22"/>
                <w:lang w:val="ro-RO"/>
              </w:rPr>
              <w:t>rândului</w:t>
            </w:r>
            <w:r w:rsidR="002862FD" w:rsidRPr="002862FD">
              <w:rPr>
                <w:sz w:val="22"/>
                <w:szCs w:val="22"/>
                <w:lang w:val="ro-RO"/>
              </w:rPr>
              <w:t xml:space="preserve"> </w:t>
            </w:r>
            <w:r w:rsidR="002862FD">
              <w:rPr>
                <w:sz w:val="22"/>
                <w:szCs w:val="22"/>
                <w:lang w:val="ro-RO"/>
              </w:rPr>
              <w:t>0010</w:t>
            </w:r>
            <w:r w:rsidR="002862FD" w:rsidRPr="002862FD">
              <w:rPr>
                <w:sz w:val="22"/>
                <w:szCs w:val="22"/>
                <w:lang w:val="ro-RO"/>
              </w:rPr>
              <w:t xml:space="preserve"> a fost ajustată cu denumirea </w:t>
            </w:r>
            <w:r w:rsidR="002862FD">
              <w:rPr>
                <w:sz w:val="22"/>
                <w:szCs w:val="22"/>
                <w:lang w:val="ro-RO"/>
              </w:rPr>
              <w:t>rândului</w:t>
            </w:r>
            <w:r w:rsidR="002862FD" w:rsidRPr="002862FD">
              <w:rPr>
                <w:sz w:val="22"/>
                <w:szCs w:val="22"/>
                <w:lang w:val="ro-RO"/>
              </w:rPr>
              <w:t xml:space="preserve"> respectiv din formularul raportului C </w:t>
            </w:r>
            <w:r w:rsidR="002862FD">
              <w:rPr>
                <w:sz w:val="22"/>
                <w:szCs w:val="22"/>
                <w:lang w:val="ro-RO"/>
              </w:rPr>
              <w:t>22</w:t>
            </w:r>
            <w:r w:rsidR="002862FD" w:rsidRPr="002862FD">
              <w:rPr>
                <w:sz w:val="22"/>
                <w:szCs w:val="22"/>
                <w:lang w:val="ro-RO"/>
              </w:rPr>
              <w:t>.01.</w:t>
            </w:r>
          </w:p>
        </w:tc>
      </w:tr>
      <w:tr w:rsidR="002C6ADD" w:rsidRPr="00A24080" w14:paraId="5F296BA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35E68ECA" w14:textId="77777777" w:rsidTr="003146FA">
              <w:tc>
                <w:tcPr>
                  <w:tcW w:w="1056" w:type="dxa"/>
                </w:tcPr>
                <w:p w14:paraId="5C7CA07F" w14:textId="439D1CD5"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lang w:val="ro-RO"/>
                    </w:rPr>
                    <w:t>0020</w:t>
                  </w:r>
                </w:p>
              </w:tc>
              <w:tc>
                <w:tcPr>
                  <w:tcW w:w="3861" w:type="dxa"/>
                </w:tcPr>
                <w:p w14:paraId="1533BED3" w14:textId="6E1E8C4B"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VALUTE STRÂNS CORELATE</w:t>
                  </w:r>
                </w:p>
                <w:p w14:paraId="7D2C5B6C"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Pozițiile și cerințele de fonduri proprii corespunzătoare acestora pentru valute strâns corelate menționate la articolul 354 din Regulamentul (UE) nr. 575/2013.</w:t>
                  </w:r>
                </w:p>
                <w:p w14:paraId="342621AC"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76AA8F10"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35531DE9" w14:textId="77777777" w:rsidTr="003146FA">
              <w:tc>
                <w:tcPr>
                  <w:tcW w:w="1056" w:type="dxa"/>
                </w:tcPr>
                <w:p w14:paraId="5BAAC33B"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lang w:val="ro-RO"/>
                    </w:rPr>
                    <w:t>0020</w:t>
                  </w:r>
                </w:p>
              </w:tc>
              <w:tc>
                <w:tcPr>
                  <w:tcW w:w="3861" w:type="dxa"/>
                </w:tcPr>
                <w:p w14:paraId="4110917D"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VALUTE STRÂNS CORELATE</w:t>
                  </w:r>
                </w:p>
                <w:p w14:paraId="33AA4732" w14:textId="70E84545"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Pozițiile și cerințele de fonduri proprii corespunzătoare acestora pentru valute strâns corelate menționate la </w:t>
                  </w:r>
                  <w:r w:rsidR="005870B1" w:rsidRPr="00A24080">
                    <w:rPr>
                      <w:sz w:val="22"/>
                      <w:szCs w:val="22"/>
                      <w:lang w:val="ro-RO"/>
                    </w:rPr>
                    <w:t>titlul II capitolul V secțiunea 4 din Regulamentul nr.XX/2026</w:t>
                  </w:r>
                  <w:r w:rsidRPr="00A24080">
                    <w:rPr>
                      <w:sz w:val="22"/>
                      <w:szCs w:val="22"/>
                      <w:lang w:val="ro-RO"/>
                    </w:rPr>
                    <w:t>.</w:t>
                  </w:r>
                </w:p>
                <w:p w14:paraId="267A1A63" w14:textId="77777777" w:rsidR="002C6ADD" w:rsidRPr="00A24080" w:rsidRDefault="002C6ADD" w:rsidP="0028208B">
                  <w:pPr>
                    <w:framePr w:hSpace="180" w:wrap="around" w:vAnchor="text" w:hAnchor="text" w:x="-612" w:y="1"/>
                    <w:ind w:right="90"/>
                    <w:suppressOverlap/>
                    <w:jc w:val="both"/>
                    <w:rPr>
                      <w:sz w:val="22"/>
                      <w:szCs w:val="22"/>
                      <w:lang w:val="ro-RO"/>
                    </w:rPr>
                  </w:pPr>
                </w:p>
              </w:tc>
            </w:tr>
          </w:tbl>
          <w:p w14:paraId="083F5EA3" w14:textId="77777777" w:rsidR="002C6ADD" w:rsidRPr="00A24080" w:rsidRDefault="002C6ADD" w:rsidP="0028208B">
            <w:pPr>
              <w:ind w:right="90"/>
              <w:rPr>
                <w:sz w:val="22"/>
                <w:szCs w:val="22"/>
                <w:lang w:val="ro-RO"/>
              </w:rPr>
            </w:pPr>
          </w:p>
        </w:tc>
        <w:tc>
          <w:tcPr>
            <w:tcW w:w="1418" w:type="dxa"/>
          </w:tcPr>
          <w:p w14:paraId="021E5694" w14:textId="7C226486" w:rsidR="002C6ADD"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0EC2A8E" w14:textId="77777777" w:rsidR="002C6ADD" w:rsidRPr="00A24080" w:rsidRDefault="002C6ADD" w:rsidP="0028208B">
            <w:pPr>
              <w:jc w:val="both"/>
              <w:rPr>
                <w:bCs/>
                <w:sz w:val="22"/>
                <w:szCs w:val="22"/>
                <w:lang w:val="ro-RO"/>
              </w:rPr>
            </w:pPr>
          </w:p>
        </w:tc>
      </w:tr>
      <w:tr w:rsidR="002C6ADD" w:rsidRPr="00EE7DB0" w14:paraId="1FFB1B5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1E2B5EE3" w14:textId="77777777" w:rsidTr="003146FA">
              <w:tc>
                <w:tcPr>
                  <w:tcW w:w="1056" w:type="dxa"/>
                </w:tcPr>
                <w:p w14:paraId="6900A3E9" w14:textId="16E4B6B4"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0025</w:t>
                  </w:r>
                </w:p>
              </w:tc>
              <w:tc>
                <w:tcPr>
                  <w:tcW w:w="3861" w:type="dxa"/>
                </w:tcPr>
                <w:p w14:paraId="5F41CA0A"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 xml:space="preserve">Monede strâns corelate: </w:t>
                  </w:r>
                  <w:r w:rsidRPr="00A24080">
                    <w:rPr>
                      <w:b/>
                      <w:i/>
                      <w:sz w:val="22"/>
                      <w:szCs w:val="22"/>
                      <w:u w:val="single"/>
                      <w:lang w:val="ro-RO"/>
                    </w:rPr>
                    <w:t>din care</w:t>
                  </w:r>
                  <w:r w:rsidRPr="00A24080">
                    <w:rPr>
                      <w:b/>
                      <w:sz w:val="22"/>
                      <w:szCs w:val="22"/>
                      <w:u w:val="single"/>
                      <w:lang w:val="ro-RO"/>
                    </w:rPr>
                    <w:t>: moneda de raportare</w:t>
                  </w:r>
                </w:p>
                <w:p w14:paraId="589D1B41" w14:textId="3A77051A"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Pozițiile în moneda de raportare care contribuie la calcularea cerințelor de capital în conformitate cu articolul 354 din Regulamentul (UE) nr. 575/2013.</w:t>
                  </w:r>
                </w:p>
              </w:tc>
            </w:tr>
          </w:tbl>
          <w:p w14:paraId="18144618"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6CA72D8D" w14:textId="77777777" w:rsidTr="003146FA">
              <w:tc>
                <w:tcPr>
                  <w:tcW w:w="1056" w:type="dxa"/>
                </w:tcPr>
                <w:p w14:paraId="3B077978"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0025</w:t>
                  </w:r>
                </w:p>
              </w:tc>
              <w:tc>
                <w:tcPr>
                  <w:tcW w:w="3861" w:type="dxa"/>
                </w:tcPr>
                <w:p w14:paraId="28CBC497" w14:textId="2B2E50EA" w:rsidR="002C6ADD" w:rsidRPr="00A24080" w:rsidRDefault="002862FD"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2862FD">
                    <w:rPr>
                      <w:b/>
                      <w:sz w:val="22"/>
                      <w:szCs w:val="22"/>
                      <w:u w:val="single"/>
                      <w:lang w:val="ro-RO"/>
                    </w:rPr>
                    <w:t xml:space="preserve">Valute </w:t>
                  </w:r>
                  <w:r w:rsidR="002C6ADD" w:rsidRPr="00A24080">
                    <w:rPr>
                      <w:b/>
                      <w:sz w:val="22"/>
                      <w:szCs w:val="22"/>
                      <w:u w:val="single"/>
                      <w:lang w:val="ro-RO"/>
                    </w:rPr>
                    <w:t xml:space="preserve">strâns corelate: </w:t>
                  </w:r>
                  <w:r w:rsidR="002C6ADD" w:rsidRPr="00A24080">
                    <w:rPr>
                      <w:b/>
                      <w:i/>
                      <w:sz w:val="22"/>
                      <w:szCs w:val="22"/>
                      <w:u w:val="single"/>
                      <w:lang w:val="ro-RO"/>
                    </w:rPr>
                    <w:t>din care</w:t>
                  </w:r>
                  <w:r w:rsidR="002C6ADD" w:rsidRPr="00A24080">
                    <w:rPr>
                      <w:b/>
                      <w:sz w:val="22"/>
                      <w:szCs w:val="22"/>
                      <w:u w:val="single"/>
                      <w:lang w:val="ro-RO"/>
                    </w:rPr>
                    <w:t>: moneda de raportare</w:t>
                  </w:r>
                </w:p>
                <w:p w14:paraId="2C41A016" w14:textId="19B64C40"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Pozițiile în moneda de raportare care contribuie la calcularea cerințelor de capital în conformitate cu </w:t>
                  </w:r>
                  <w:r w:rsidR="005870B1" w:rsidRPr="00A24080">
                    <w:rPr>
                      <w:sz w:val="22"/>
                      <w:szCs w:val="22"/>
                      <w:lang w:val="ro-RO"/>
                    </w:rPr>
                    <w:t>titlul II capitolul V secțiunea 4 din Regulamentul nr.XX/2026</w:t>
                  </w:r>
                  <w:r w:rsidRPr="00A24080">
                    <w:rPr>
                      <w:sz w:val="22"/>
                      <w:szCs w:val="22"/>
                      <w:lang w:val="ro-RO"/>
                    </w:rPr>
                    <w:t>.</w:t>
                  </w:r>
                </w:p>
              </w:tc>
            </w:tr>
          </w:tbl>
          <w:p w14:paraId="5CD1C4C2" w14:textId="77777777" w:rsidR="002C6ADD" w:rsidRPr="00A24080" w:rsidRDefault="002C6ADD" w:rsidP="0028208B">
            <w:pPr>
              <w:ind w:right="90"/>
              <w:rPr>
                <w:sz w:val="22"/>
                <w:szCs w:val="22"/>
                <w:lang w:val="ro-RO"/>
              </w:rPr>
            </w:pPr>
          </w:p>
        </w:tc>
        <w:tc>
          <w:tcPr>
            <w:tcW w:w="1418" w:type="dxa"/>
          </w:tcPr>
          <w:p w14:paraId="76762F99" w14:textId="7D458AAC" w:rsidR="002C6ADD"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F0CFAB7" w14:textId="64539BE4" w:rsidR="002C6ADD" w:rsidRPr="00A24080" w:rsidRDefault="002862FD" w:rsidP="0028208B">
            <w:pPr>
              <w:jc w:val="both"/>
              <w:rPr>
                <w:bCs/>
                <w:sz w:val="22"/>
                <w:szCs w:val="22"/>
                <w:lang w:val="ro-RO"/>
              </w:rPr>
            </w:pPr>
            <w:r w:rsidRPr="002862FD">
              <w:rPr>
                <w:bCs/>
                <w:sz w:val="22"/>
                <w:szCs w:val="22"/>
                <w:lang w:val="ro-RO"/>
              </w:rPr>
              <w:t>Denumirea rândului 00</w:t>
            </w:r>
            <w:r>
              <w:rPr>
                <w:bCs/>
                <w:sz w:val="22"/>
                <w:szCs w:val="22"/>
                <w:lang w:val="ro-RO"/>
              </w:rPr>
              <w:t>25</w:t>
            </w:r>
            <w:r w:rsidRPr="002862FD">
              <w:rPr>
                <w:bCs/>
                <w:sz w:val="22"/>
                <w:szCs w:val="22"/>
                <w:lang w:val="ro-RO"/>
              </w:rPr>
              <w:t xml:space="preserve"> a fost ajustată cu denumirea rândului respectiv din formularul raportului C 22.01.</w:t>
            </w:r>
          </w:p>
        </w:tc>
      </w:tr>
      <w:tr w:rsidR="002C6ADD" w:rsidRPr="00EE7DB0" w14:paraId="2C8C564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69913763" w14:textId="77777777" w:rsidTr="003146FA">
              <w:tc>
                <w:tcPr>
                  <w:tcW w:w="1056" w:type="dxa"/>
                </w:tcPr>
                <w:p w14:paraId="00E3EEE1" w14:textId="060CD6F5"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lastRenderedPageBreak/>
                    <w:t>0030</w:t>
                  </w:r>
                </w:p>
              </w:tc>
              <w:tc>
                <w:tcPr>
                  <w:tcW w:w="3861" w:type="dxa"/>
                </w:tcPr>
                <w:p w14:paraId="3679387F" w14:textId="05E15CE8"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CELELALTE MONEDE (inclusiv OPC-uri tratate ca valute distincte)</w:t>
                  </w:r>
                </w:p>
                <w:p w14:paraId="63792CF0" w14:textId="77777777"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și cerințele de fonduri proprii corespunzătoare acestora pentru valutele care fac obiectul procedurii generale menționate la articolul 351 și la articolul 352 alineatele (2) și (4) din Regulamentul (UE) nr. 575/2013.</w:t>
                  </w:r>
                </w:p>
                <w:p w14:paraId="3ABDD3FF"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1F7AAB31" w14:textId="77777777" w:rsidR="002C6ADD" w:rsidRPr="00A24080" w:rsidRDefault="002C6ADD" w:rsidP="0028208B">
                  <w:pPr>
                    <w:framePr w:hSpace="180" w:wrap="around" w:vAnchor="text" w:hAnchor="text" w:x="-612" w:y="1"/>
                    <w:suppressAutoHyphens/>
                    <w:autoSpaceDE w:val="0"/>
                    <w:autoSpaceDN w:val="0"/>
                    <w:adjustRightInd w:val="0"/>
                    <w:suppressOverlap/>
                    <w:jc w:val="both"/>
                    <w:rPr>
                      <w:bCs/>
                      <w:sz w:val="22"/>
                      <w:szCs w:val="22"/>
                      <w:u w:val="single"/>
                      <w:lang w:val="it-IT"/>
                    </w:rPr>
                  </w:pPr>
                  <w:r w:rsidRPr="00A24080">
                    <w:rPr>
                      <w:sz w:val="22"/>
                      <w:szCs w:val="22"/>
                      <w:u w:val="single"/>
                      <w:lang w:val="it-IT"/>
                    </w:rPr>
                    <w:t xml:space="preserve">Raportarea OPC-urilor tratate ca valute distincte, în conformitate cu articolul 353 </w:t>
                  </w:r>
                  <w:r w:rsidRPr="00A24080">
                    <w:rPr>
                      <w:sz w:val="22"/>
                      <w:szCs w:val="22"/>
                      <w:lang w:val="it-IT"/>
                    </w:rPr>
                    <w:t>din Regulamentul (UE) nr. 575/2013</w:t>
                  </w:r>
                  <w:r w:rsidRPr="00A24080">
                    <w:rPr>
                      <w:sz w:val="22"/>
                      <w:szCs w:val="22"/>
                      <w:u w:val="single"/>
                      <w:lang w:val="it-IT"/>
                    </w:rPr>
                    <w:t>:</w:t>
                  </w:r>
                </w:p>
                <w:p w14:paraId="40062A34" w14:textId="77777777" w:rsidR="002C6ADD" w:rsidRPr="00A24080" w:rsidRDefault="002C6ADD" w:rsidP="0028208B">
                  <w:pPr>
                    <w:framePr w:hSpace="180" w:wrap="around" w:vAnchor="text" w:hAnchor="text" w:x="-612" w:y="1"/>
                    <w:suppressAutoHyphens/>
                    <w:autoSpaceDE w:val="0"/>
                    <w:autoSpaceDN w:val="0"/>
                    <w:adjustRightInd w:val="0"/>
                    <w:suppressOverlap/>
                    <w:jc w:val="both"/>
                    <w:rPr>
                      <w:bCs/>
                      <w:sz w:val="22"/>
                      <w:szCs w:val="22"/>
                      <w:lang w:val="it-IT"/>
                    </w:rPr>
                  </w:pPr>
                  <w:r w:rsidRPr="00A24080">
                    <w:rPr>
                      <w:sz w:val="22"/>
                      <w:szCs w:val="22"/>
                      <w:lang w:val="it-IT"/>
                    </w:rPr>
                    <w:t>Există două tratamente diferite aplicabile OPC-urilor tratate ca valute distincte pentru calcularea cerințelor de capital:</w:t>
                  </w:r>
                </w:p>
                <w:p w14:paraId="478DD798" w14:textId="77777777" w:rsidR="002C6ADD" w:rsidRPr="00A24080" w:rsidRDefault="002C6ADD" w:rsidP="0028208B">
                  <w:pPr>
                    <w:framePr w:hSpace="180" w:wrap="around" w:vAnchor="text" w:hAnchor="text" w:x="-612" w:y="1"/>
                    <w:suppressAutoHyphens/>
                    <w:autoSpaceDE w:val="0"/>
                    <w:autoSpaceDN w:val="0"/>
                    <w:adjustRightInd w:val="0"/>
                    <w:ind w:left="720" w:hanging="360"/>
                    <w:suppressOverlap/>
                    <w:jc w:val="both"/>
                    <w:rPr>
                      <w:bCs/>
                      <w:sz w:val="22"/>
                      <w:szCs w:val="22"/>
                      <w:lang w:val="it-IT"/>
                    </w:rPr>
                  </w:pPr>
                  <w:r w:rsidRPr="00A24080">
                    <w:rPr>
                      <w:sz w:val="22"/>
                      <w:szCs w:val="22"/>
                      <w:lang w:val="it-IT"/>
                    </w:rPr>
                    <w:t>1.</w:t>
                  </w:r>
                  <w:r w:rsidRPr="00A24080">
                    <w:rPr>
                      <w:sz w:val="22"/>
                      <w:szCs w:val="22"/>
                      <w:lang w:val="it-IT"/>
                    </w:rPr>
                    <w:tab/>
                    <w:t>metoda modificată a aurului, în cazul în care direcția investiției OPC-ului nu este disponibilă (OPC-urile în cauză se adaugă la poziția valutară netă generală a instituției);</w:t>
                  </w:r>
                </w:p>
                <w:p w14:paraId="2794BFBB" w14:textId="77777777" w:rsidR="002C6ADD" w:rsidRPr="00A24080" w:rsidRDefault="002C6ADD" w:rsidP="0028208B">
                  <w:pPr>
                    <w:framePr w:hSpace="180" w:wrap="around" w:vAnchor="text" w:hAnchor="text" w:x="-612" w:y="1"/>
                    <w:suppressAutoHyphens/>
                    <w:autoSpaceDE w:val="0"/>
                    <w:autoSpaceDN w:val="0"/>
                    <w:adjustRightInd w:val="0"/>
                    <w:ind w:left="720" w:hanging="360"/>
                    <w:suppressOverlap/>
                    <w:jc w:val="both"/>
                    <w:rPr>
                      <w:bCs/>
                      <w:sz w:val="22"/>
                      <w:szCs w:val="22"/>
                      <w:lang w:val="it-IT"/>
                    </w:rPr>
                  </w:pPr>
                  <w:r w:rsidRPr="00A24080">
                    <w:rPr>
                      <w:sz w:val="22"/>
                      <w:szCs w:val="22"/>
                      <w:lang w:val="it-IT"/>
                    </w:rPr>
                    <w:t>2.</w:t>
                  </w:r>
                  <w:r w:rsidRPr="00A24080">
                    <w:rPr>
                      <w:sz w:val="22"/>
                      <w:szCs w:val="22"/>
                      <w:lang w:val="it-IT"/>
                    </w:rPr>
                    <w:tab/>
                    <w:t>în cazul în care direcția investiției OPC-ului este disponibilă, OPC-urile în cauză se adaugă la poziția valutară deschisă totală (lungă sau scurtă, în funcție de direcția OPC-ului).</w:t>
                  </w:r>
                </w:p>
                <w:p w14:paraId="434FDAFF" w14:textId="1A85181A" w:rsidR="002C6ADD" w:rsidRPr="00A24080" w:rsidRDefault="002C6ADD" w:rsidP="0028208B">
                  <w:pPr>
                    <w:framePr w:hSpace="180" w:wrap="around" w:vAnchor="text" w:hAnchor="text" w:x="-612" w:y="1"/>
                    <w:suppressAutoHyphens/>
                    <w:autoSpaceDE w:val="0"/>
                    <w:autoSpaceDN w:val="0"/>
                    <w:adjustRightInd w:val="0"/>
                    <w:suppressOverlap/>
                    <w:jc w:val="both"/>
                    <w:rPr>
                      <w:bCs/>
                      <w:sz w:val="22"/>
                      <w:szCs w:val="22"/>
                      <w:u w:val="single"/>
                      <w:lang w:val="pt-BR"/>
                    </w:rPr>
                  </w:pPr>
                  <w:r w:rsidRPr="00A24080">
                    <w:rPr>
                      <w:sz w:val="22"/>
                      <w:szCs w:val="22"/>
                      <w:lang w:val="pt-BR"/>
                    </w:rPr>
                    <w:t>Raportarea OPC-urilor respective urmează calculul cerințelor de capital.</w:t>
                  </w:r>
                </w:p>
              </w:tc>
            </w:tr>
          </w:tbl>
          <w:p w14:paraId="6FBEB26B" w14:textId="77777777" w:rsidR="002C6ADD" w:rsidRPr="00A24080" w:rsidRDefault="002C6ADD"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2C6ADD" w:rsidRPr="00EE7DB0" w14:paraId="19140EAB" w14:textId="77777777" w:rsidTr="003146FA">
              <w:tc>
                <w:tcPr>
                  <w:tcW w:w="1056" w:type="dxa"/>
                </w:tcPr>
                <w:p w14:paraId="648B77F3" w14:textId="77777777" w:rsidR="002C6ADD" w:rsidRPr="00A24080" w:rsidRDefault="002C6ADD"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55859DB0"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CELELALTE MONEDE (inclusiv OPC-uri tratate ca valute distincte)</w:t>
                  </w:r>
                </w:p>
                <w:p w14:paraId="01FF3ECF" w14:textId="3A63D3BF" w:rsidR="002C6ADD" w:rsidRPr="00A24080" w:rsidRDefault="002C6ADD"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și cerințele de fonduri proprii corespunzătoare acestora pentru valutele care fac obiectul procedurii generale menționate la </w:t>
                  </w:r>
                  <w:r w:rsidR="006365D6" w:rsidRPr="00A24080">
                    <w:rPr>
                      <w:sz w:val="22"/>
                      <w:szCs w:val="22"/>
                      <w:lang w:val="ro-MD"/>
                    </w:rPr>
                    <w:t>pct.495</w:t>
                  </w:r>
                  <w:r w:rsidRPr="00A24080">
                    <w:rPr>
                      <w:sz w:val="22"/>
                      <w:szCs w:val="22"/>
                      <w:lang w:val="it-IT"/>
                    </w:rPr>
                    <w:t xml:space="preserve"> și la  </w:t>
                  </w:r>
                  <w:r w:rsidR="00FE51E6" w:rsidRPr="00A24080">
                    <w:rPr>
                      <w:sz w:val="22"/>
                      <w:szCs w:val="22"/>
                      <w:lang w:val="it-IT"/>
                    </w:rPr>
                    <w:t>pct.501</w:t>
                  </w:r>
                  <w:r w:rsidRPr="00A24080">
                    <w:rPr>
                      <w:sz w:val="22"/>
                      <w:szCs w:val="22"/>
                      <w:lang w:val="it-IT"/>
                    </w:rPr>
                    <w:t xml:space="preserve"> din Regulamentul  nr. </w:t>
                  </w:r>
                  <w:r w:rsidR="00FE51E6" w:rsidRPr="00A24080">
                    <w:rPr>
                      <w:sz w:val="22"/>
                      <w:szCs w:val="22"/>
                      <w:lang w:val="it-IT"/>
                    </w:rPr>
                    <w:t>XX/2026</w:t>
                  </w:r>
                  <w:r w:rsidRPr="00A24080">
                    <w:rPr>
                      <w:sz w:val="22"/>
                      <w:szCs w:val="22"/>
                      <w:lang w:val="it-IT"/>
                    </w:rPr>
                    <w:t>.</w:t>
                  </w:r>
                </w:p>
                <w:p w14:paraId="381944D2" w14:textId="77777777" w:rsidR="002C6ADD" w:rsidRPr="00A24080" w:rsidRDefault="002C6ADD"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3C71F9EB" w14:textId="2172AC78" w:rsidR="002C6ADD" w:rsidRPr="00A24080" w:rsidRDefault="002C6ADD" w:rsidP="0028208B">
                  <w:pPr>
                    <w:framePr w:hSpace="180" w:wrap="around" w:vAnchor="text" w:hAnchor="text" w:x="-612" w:y="1"/>
                    <w:suppressAutoHyphens/>
                    <w:autoSpaceDE w:val="0"/>
                    <w:autoSpaceDN w:val="0"/>
                    <w:adjustRightInd w:val="0"/>
                    <w:suppressOverlap/>
                    <w:jc w:val="both"/>
                    <w:rPr>
                      <w:bCs/>
                      <w:sz w:val="22"/>
                      <w:szCs w:val="22"/>
                      <w:u w:val="single"/>
                      <w:lang w:val="it-IT"/>
                    </w:rPr>
                  </w:pPr>
                  <w:r w:rsidRPr="00A24080">
                    <w:rPr>
                      <w:sz w:val="22"/>
                      <w:szCs w:val="22"/>
                      <w:u w:val="single"/>
                      <w:lang w:val="it-IT"/>
                    </w:rPr>
                    <w:t xml:space="preserve">Raportarea OPC-urilor tratate ca valute distincte, în conformitate cu </w:t>
                  </w:r>
                  <w:r w:rsidR="000A1E61" w:rsidRPr="00A24080">
                    <w:rPr>
                      <w:sz w:val="22"/>
                      <w:szCs w:val="22"/>
                      <w:u w:val="single"/>
                      <w:lang w:val="it-IT"/>
                    </w:rPr>
                    <w:t xml:space="preserve">titlul II capitolul V secțiunea 3 </w:t>
                  </w:r>
                  <w:r w:rsidRPr="00A24080">
                    <w:rPr>
                      <w:sz w:val="22"/>
                      <w:szCs w:val="22"/>
                      <w:u w:val="single"/>
                      <w:lang w:val="it-IT"/>
                    </w:rPr>
                    <w:t xml:space="preserve"> </w:t>
                  </w:r>
                  <w:r w:rsidRPr="00A24080">
                    <w:rPr>
                      <w:sz w:val="22"/>
                      <w:szCs w:val="22"/>
                      <w:lang w:val="it-IT"/>
                    </w:rPr>
                    <w:t>din Regulamentul  nr. </w:t>
                  </w:r>
                  <w:r w:rsidR="000A1E61" w:rsidRPr="00A24080">
                    <w:rPr>
                      <w:sz w:val="22"/>
                      <w:szCs w:val="22"/>
                      <w:lang w:val="it-IT"/>
                    </w:rPr>
                    <w:t>XX/2026</w:t>
                  </w:r>
                  <w:r w:rsidRPr="00A24080">
                    <w:rPr>
                      <w:sz w:val="22"/>
                      <w:szCs w:val="22"/>
                      <w:u w:val="single"/>
                      <w:lang w:val="it-IT"/>
                    </w:rPr>
                    <w:t>:</w:t>
                  </w:r>
                </w:p>
                <w:p w14:paraId="7B8D7DBD" w14:textId="77777777" w:rsidR="002C6ADD" w:rsidRPr="00A24080" w:rsidRDefault="002C6ADD" w:rsidP="0028208B">
                  <w:pPr>
                    <w:framePr w:hSpace="180" w:wrap="around" w:vAnchor="text" w:hAnchor="text" w:x="-612" w:y="1"/>
                    <w:suppressAutoHyphens/>
                    <w:autoSpaceDE w:val="0"/>
                    <w:autoSpaceDN w:val="0"/>
                    <w:adjustRightInd w:val="0"/>
                    <w:suppressOverlap/>
                    <w:jc w:val="both"/>
                    <w:rPr>
                      <w:bCs/>
                      <w:sz w:val="22"/>
                      <w:szCs w:val="22"/>
                      <w:lang w:val="it-IT"/>
                    </w:rPr>
                  </w:pPr>
                  <w:r w:rsidRPr="00A24080">
                    <w:rPr>
                      <w:sz w:val="22"/>
                      <w:szCs w:val="22"/>
                      <w:lang w:val="it-IT"/>
                    </w:rPr>
                    <w:t>Există două tratamente diferite aplicabile OPC-urilor tratate ca valute distincte pentru calcularea cerințelor de capital:</w:t>
                  </w:r>
                </w:p>
                <w:p w14:paraId="7E1DC5E6" w14:textId="474F4020" w:rsidR="002C6ADD" w:rsidRPr="00A24080" w:rsidRDefault="002C6ADD" w:rsidP="0028208B">
                  <w:pPr>
                    <w:framePr w:hSpace="180" w:wrap="around" w:vAnchor="text" w:hAnchor="text" w:x="-612" w:y="1"/>
                    <w:suppressAutoHyphens/>
                    <w:autoSpaceDE w:val="0"/>
                    <w:autoSpaceDN w:val="0"/>
                    <w:adjustRightInd w:val="0"/>
                    <w:ind w:left="720" w:hanging="360"/>
                    <w:suppressOverlap/>
                    <w:jc w:val="both"/>
                    <w:rPr>
                      <w:bCs/>
                      <w:sz w:val="22"/>
                      <w:szCs w:val="22"/>
                      <w:lang w:val="it-IT"/>
                    </w:rPr>
                  </w:pPr>
                  <w:r w:rsidRPr="00A24080">
                    <w:rPr>
                      <w:sz w:val="22"/>
                      <w:szCs w:val="22"/>
                      <w:lang w:val="it-IT"/>
                    </w:rPr>
                    <w:t>1.</w:t>
                  </w:r>
                  <w:r w:rsidRPr="00A24080">
                    <w:rPr>
                      <w:sz w:val="22"/>
                      <w:szCs w:val="22"/>
                      <w:lang w:val="it-IT"/>
                    </w:rPr>
                    <w:tab/>
                    <w:t xml:space="preserve">metoda modificată a aurului, în cazul în care direcția investiției OPC-ului nu este disponibilă (OPC-urile în cauză se adaugă la poziția valutară netă generală a </w:t>
                  </w:r>
                  <w:r w:rsidR="00F466E1" w:rsidRPr="00A24080">
                    <w:rPr>
                      <w:sz w:val="22"/>
                      <w:szCs w:val="22"/>
                      <w:lang w:val="it-IT"/>
                    </w:rPr>
                    <w:t>băncii</w:t>
                  </w:r>
                  <w:r w:rsidRPr="00A24080">
                    <w:rPr>
                      <w:sz w:val="22"/>
                      <w:szCs w:val="22"/>
                      <w:lang w:val="it-IT"/>
                    </w:rPr>
                    <w:t>);</w:t>
                  </w:r>
                </w:p>
                <w:p w14:paraId="573E0DB4" w14:textId="77777777" w:rsidR="002C6ADD" w:rsidRPr="00A24080" w:rsidRDefault="002C6ADD" w:rsidP="0028208B">
                  <w:pPr>
                    <w:framePr w:hSpace="180" w:wrap="around" w:vAnchor="text" w:hAnchor="text" w:x="-612" w:y="1"/>
                    <w:suppressAutoHyphens/>
                    <w:autoSpaceDE w:val="0"/>
                    <w:autoSpaceDN w:val="0"/>
                    <w:adjustRightInd w:val="0"/>
                    <w:ind w:left="720" w:hanging="360"/>
                    <w:suppressOverlap/>
                    <w:jc w:val="both"/>
                    <w:rPr>
                      <w:bCs/>
                      <w:sz w:val="22"/>
                      <w:szCs w:val="22"/>
                      <w:lang w:val="it-IT"/>
                    </w:rPr>
                  </w:pPr>
                  <w:r w:rsidRPr="00A24080">
                    <w:rPr>
                      <w:sz w:val="22"/>
                      <w:szCs w:val="22"/>
                      <w:lang w:val="it-IT"/>
                    </w:rPr>
                    <w:t>2.</w:t>
                  </w:r>
                  <w:r w:rsidRPr="00A24080">
                    <w:rPr>
                      <w:sz w:val="22"/>
                      <w:szCs w:val="22"/>
                      <w:lang w:val="it-IT"/>
                    </w:rPr>
                    <w:tab/>
                    <w:t>în cazul în care direcția investiției OPC-ului este disponibilă, OPC-urile în cauză se adaugă la poziția valutară deschisă totală (lungă sau scurtă, în funcție de direcția OPC-ului).</w:t>
                  </w:r>
                </w:p>
                <w:p w14:paraId="62E8D3D9" w14:textId="318370A4" w:rsidR="002C6ADD" w:rsidRPr="00A24080" w:rsidRDefault="002C6ADD" w:rsidP="0028208B">
                  <w:pPr>
                    <w:framePr w:hSpace="180" w:wrap="around" w:vAnchor="text" w:hAnchor="text" w:x="-612" w:y="1"/>
                    <w:suppressAutoHyphens/>
                    <w:autoSpaceDE w:val="0"/>
                    <w:autoSpaceDN w:val="0"/>
                    <w:adjustRightInd w:val="0"/>
                    <w:suppressOverlap/>
                    <w:jc w:val="both"/>
                    <w:rPr>
                      <w:bCs/>
                      <w:sz w:val="22"/>
                      <w:szCs w:val="22"/>
                      <w:u w:val="single"/>
                      <w:lang w:val="pt-BR"/>
                    </w:rPr>
                  </w:pPr>
                  <w:r w:rsidRPr="00A24080">
                    <w:rPr>
                      <w:sz w:val="22"/>
                      <w:szCs w:val="22"/>
                      <w:lang w:val="pt-BR"/>
                    </w:rPr>
                    <w:t>Raportarea OPC-urilor respective urmează calculul cerințelor de capital.</w:t>
                  </w:r>
                </w:p>
              </w:tc>
            </w:tr>
          </w:tbl>
          <w:p w14:paraId="01CFA823" w14:textId="77777777" w:rsidR="002C6ADD" w:rsidRPr="00A24080" w:rsidRDefault="002C6ADD" w:rsidP="0028208B">
            <w:pPr>
              <w:ind w:right="90"/>
              <w:rPr>
                <w:sz w:val="22"/>
                <w:szCs w:val="22"/>
                <w:lang w:val="ro-RO"/>
              </w:rPr>
            </w:pPr>
          </w:p>
        </w:tc>
        <w:tc>
          <w:tcPr>
            <w:tcW w:w="1418" w:type="dxa"/>
          </w:tcPr>
          <w:p w14:paraId="16720489" w14:textId="215609E6" w:rsidR="002C6ADD" w:rsidRPr="00A24080" w:rsidRDefault="00256E86"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F24A9A1" w14:textId="0E1126E1" w:rsidR="002C6ADD" w:rsidRPr="00A24080" w:rsidRDefault="00256E86" w:rsidP="0028208B">
            <w:pPr>
              <w:jc w:val="both"/>
              <w:rPr>
                <w:bCs/>
                <w:sz w:val="22"/>
                <w:szCs w:val="22"/>
                <w:lang w:val="ro-RO"/>
              </w:rPr>
            </w:pPr>
            <w:r w:rsidRPr="00A24080">
              <w:rPr>
                <w:sz w:val="22"/>
                <w:szCs w:val="22"/>
                <w:lang w:val="ro-RO"/>
              </w:rPr>
              <w:t>Trimiterea la alineatul (2) din articolul 352 al Regulamentului (UE) nr.575/2013 nu a fost transpusă deoarece alineatul respectiv a fost abrogat</w:t>
            </w:r>
            <w:r w:rsidR="002F6574" w:rsidRPr="00A24080">
              <w:rPr>
                <w:sz w:val="22"/>
                <w:szCs w:val="22"/>
                <w:lang w:val="ro-RO"/>
              </w:rPr>
              <w:t xml:space="preserve"> prin Regulamentul (UE) nr. 2024/1623</w:t>
            </w:r>
            <w:r w:rsidRPr="00A24080">
              <w:rPr>
                <w:sz w:val="22"/>
                <w:szCs w:val="22"/>
                <w:lang w:val="ro-RO"/>
              </w:rPr>
              <w:t>.</w:t>
            </w:r>
          </w:p>
        </w:tc>
      </w:tr>
      <w:tr w:rsidR="00D602CA" w:rsidRPr="00EE7DB0" w14:paraId="3152984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6477C33F" w14:textId="77777777" w:rsidTr="003146FA">
              <w:tc>
                <w:tcPr>
                  <w:tcW w:w="1056" w:type="dxa"/>
                </w:tcPr>
                <w:p w14:paraId="0306B29A" w14:textId="389EE269"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tcPr>
                <w:p w14:paraId="4260B78D"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AUR</w:t>
                  </w:r>
                </w:p>
                <w:p w14:paraId="10778CB2"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și cerințele de fonduri proprii corespunzătoare acestora pentru valutele care fac obiectul procedurii generale menționate la articolul 351 și la articolul </w:t>
                  </w:r>
                  <w:r w:rsidRPr="00A24080">
                    <w:rPr>
                      <w:sz w:val="22"/>
                      <w:szCs w:val="22"/>
                      <w:lang w:val="it-IT"/>
                    </w:rPr>
                    <w:lastRenderedPageBreak/>
                    <w:t xml:space="preserve">352 alineatele (2) și (4) din Regulamentul (UE) nr. 575/2013. </w:t>
                  </w:r>
                </w:p>
                <w:p w14:paraId="32FE650F"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7B17F9E7"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3400EF43" w14:textId="77777777" w:rsidTr="003146FA">
              <w:tc>
                <w:tcPr>
                  <w:tcW w:w="1056" w:type="dxa"/>
                </w:tcPr>
                <w:p w14:paraId="4A6D3C21"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lastRenderedPageBreak/>
                    <w:t>0040</w:t>
                  </w:r>
                </w:p>
              </w:tc>
              <w:tc>
                <w:tcPr>
                  <w:tcW w:w="3861" w:type="dxa"/>
                </w:tcPr>
                <w:p w14:paraId="5BA89C66"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AUR</w:t>
                  </w:r>
                </w:p>
                <w:p w14:paraId="6E84C9CC" w14:textId="70EE1346"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și cerințele de fonduri proprii corespunzătoare acestora pentru valutele care fac obiectul procedurii generale </w:t>
                  </w:r>
                  <w:r w:rsidRPr="00A24080">
                    <w:rPr>
                      <w:sz w:val="22"/>
                      <w:szCs w:val="22"/>
                      <w:lang w:val="it-IT"/>
                    </w:rPr>
                    <w:lastRenderedPageBreak/>
                    <w:t xml:space="preserve">menționate la </w:t>
                  </w:r>
                  <w:r w:rsidR="006365D6" w:rsidRPr="00A24080">
                    <w:rPr>
                      <w:sz w:val="22"/>
                      <w:szCs w:val="22"/>
                      <w:lang w:val="ro-MD"/>
                    </w:rPr>
                    <w:t>pct.495</w:t>
                  </w:r>
                  <w:r w:rsidRPr="00A24080">
                    <w:rPr>
                      <w:sz w:val="22"/>
                      <w:szCs w:val="22"/>
                      <w:lang w:val="it-IT"/>
                    </w:rPr>
                    <w:t xml:space="preserve"> și la </w:t>
                  </w:r>
                  <w:r w:rsidR="00FE51E6" w:rsidRPr="00A24080">
                    <w:rPr>
                      <w:sz w:val="22"/>
                      <w:szCs w:val="22"/>
                      <w:lang w:val="it-IT"/>
                    </w:rPr>
                    <w:t>pct.501</w:t>
                  </w:r>
                  <w:r w:rsidRPr="00A24080">
                    <w:rPr>
                      <w:sz w:val="22"/>
                      <w:szCs w:val="22"/>
                      <w:lang w:val="it-IT"/>
                    </w:rPr>
                    <w:t xml:space="preserve"> din Regulamentul  nr. </w:t>
                  </w:r>
                  <w:r w:rsidR="00FE51E6" w:rsidRPr="00A24080">
                    <w:rPr>
                      <w:sz w:val="22"/>
                      <w:szCs w:val="22"/>
                      <w:lang w:val="it-IT"/>
                    </w:rPr>
                    <w:t>XX/2026</w:t>
                  </w:r>
                  <w:r w:rsidRPr="00A24080">
                    <w:rPr>
                      <w:sz w:val="22"/>
                      <w:szCs w:val="22"/>
                      <w:lang w:val="it-IT"/>
                    </w:rPr>
                    <w:t xml:space="preserve">. </w:t>
                  </w:r>
                </w:p>
                <w:p w14:paraId="773E81A8"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61DB0CC1" w14:textId="77777777" w:rsidR="00D602CA" w:rsidRPr="00A24080" w:rsidRDefault="00D602CA" w:rsidP="0028208B">
            <w:pPr>
              <w:ind w:right="90"/>
              <w:rPr>
                <w:sz w:val="22"/>
                <w:szCs w:val="22"/>
                <w:lang w:val="ro-RO"/>
              </w:rPr>
            </w:pPr>
          </w:p>
        </w:tc>
        <w:tc>
          <w:tcPr>
            <w:tcW w:w="1418" w:type="dxa"/>
          </w:tcPr>
          <w:p w14:paraId="2B852001" w14:textId="62B0F5FF" w:rsidR="00D602CA" w:rsidRPr="00A24080" w:rsidRDefault="00256E86"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2D29A2AD" w14:textId="1F9DFF15" w:rsidR="00D602CA" w:rsidRPr="00A24080" w:rsidRDefault="00256E86" w:rsidP="0028208B">
            <w:pPr>
              <w:jc w:val="both"/>
              <w:rPr>
                <w:bCs/>
                <w:sz w:val="22"/>
                <w:szCs w:val="22"/>
                <w:lang w:val="ro-RO"/>
              </w:rPr>
            </w:pPr>
            <w:r w:rsidRPr="00A24080">
              <w:rPr>
                <w:sz w:val="22"/>
                <w:szCs w:val="22"/>
                <w:lang w:val="ro-RO"/>
              </w:rPr>
              <w:t xml:space="preserve">Trimiterea la alineatul (2) din articolul 352 al Regulamentului (UE) nr.575/2013 nu a fost transpusă deoarece alineatul respectiv a fost </w:t>
            </w:r>
            <w:r w:rsidRPr="00A24080">
              <w:rPr>
                <w:sz w:val="22"/>
                <w:szCs w:val="22"/>
                <w:lang w:val="ro-RO"/>
              </w:rPr>
              <w:lastRenderedPageBreak/>
              <w:t>abrogat</w:t>
            </w:r>
            <w:r w:rsidR="002F6574" w:rsidRPr="00A24080">
              <w:rPr>
                <w:sz w:val="22"/>
                <w:szCs w:val="22"/>
                <w:lang w:val="ro-RO"/>
              </w:rPr>
              <w:t xml:space="preserve"> prin Regulamentul (UE) nr. 2024/1623</w:t>
            </w:r>
            <w:r w:rsidRPr="00A24080">
              <w:rPr>
                <w:sz w:val="22"/>
                <w:szCs w:val="22"/>
                <w:lang w:val="ro-RO"/>
              </w:rPr>
              <w:t>.</w:t>
            </w:r>
          </w:p>
        </w:tc>
      </w:tr>
      <w:tr w:rsidR="00D602CA" w:rsidRPr="00A24080" w14:paraId="1D47AAD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1DF7886C" w14:textId="77777777" w:rsidTr="003146FA">
              <w:tc>
                <w:tcPr>
                  <w:tcW w:w="1056" w:type="dxa"/>
                </w:tcPr>
                <w:p w14:paraId="618A2DB6" w14:textId="7AB9B211"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lastRenderedPageBreak/>
                    <w:t>0050 - 0090</w:t>
                  </w:r>
                </w:p>
              </w:tc>
              <w:tc>
                <w:tcPr>
                  <w:tcW w:w="3861" w:type="dxa"/>
                </w:tcPr>
                <w:p w14:paraId="40F11E8D"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rStyle w:val="InstructionsTabelleberschrift"/>
                      <w:rFonts w:ascii="Times New Roman" w:hAnsi="Times New Roman"/>
                      <w:sz w:val="22"/>
                      <w:szCs w:val="22"/>
                      <w:lang w:val="it-IT"/>
                    </w:rPr>
                    <w:t>CERINȚE SUPLIMENTARE PENTRU OPȚIUNI (ALTE RISCURI DECÂT RISCUL DELTA)</w:t>
                  </w:r>
                </w:p>
                <w:p w14:paraId="7D2DE21B"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Articolul 352 alineatele (5) și (6) din Regulamentul (UE) nr. 575/2013 </w:t>
                  </w:r>
                </w:p>
                <w:p w14:paraId="644832AC"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40CCDCE8"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Cerințele suplimentare pentru opțiuni legate de alte riscuri decât riscul delta se raportează defalcat în funcție de metoda utilizată pentru calcularea acestora. </w:t>
                  </w:r>
                </w:p>
                <w:p w14:paraId="0D08998E"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31B18CC3"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17381C2B" w14:textId="77777777" w:rsidTr="003146FA">
              <w:tc>
                <w:tcPr>
                  <w:tcW w:w="1056" w:type="dxa"/>
                </w:tcPr>
                <w:p w14:paraId="22E7A01A"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0050 - 0090</w:t>
                  </w:r>
                </w:p>
              </w:tc>
              <w:tc>
                <w:tcPr>
                  <w:tcW w:w="3861" w:type="dxa"/>
                </w:tcPr>
                <w:p w14:paraId="2AF5D937"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rStyle w:val="InstructionsTabelleberschrift"/>
                      <w:rFonts w:ascii="Times New Roman" w:hAnsi="Times New Roman"/>
                      <w:sz w:val="22"/>
                      <w:szCs w:val="22"/>
                      <w:lang w:val="it-IT"/>
                    </w:rPr>
                    <w:t>CERINȚE SUPLIMENTARE PENTRU OPȚIUNI (ALTE RISCURI DECÂT RISCUL DELTA)</w:t>
                  </w:r>
                </w:p>
                <w:p w14:paraId="349AEFAB" w14:textId="3A0ABE05" w:rsidR="00D602CA" w:rsidRPr="00A24080" w:rsidRDefault="00C75237"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Pct.502</w:t>
                  </w:r>
                  <w:r w:rsidR="00D602CA" w:rsidRPr="00A24080">
                    <w:rPr>
                      <w:sz w:val="22"/>
                      <w:szCs w:val="22"/>
                      <w:lang w:val="it-IT"/>
                    </w:rPr>
                    <w:t xml:space="preserve"> din Regulamentul  nr. </w:t>
                  </w:r>
                  <w:r w:rsidRPr="00A24080">
                    <w:rPr>
                      <w:sz w:val="22"/>
                      <w:szCs w:val="22"/>
                      <w:lang w:val="it-IT"/>
                    </w:rPr>
                    <w:t>XX/2026</w:t>
                  </w:r>
                  <w:r w:rsidR="00D602CA" w:rsidRPr="00A24080">
                    <w:rPr>
                      <w:sz w:val="22"/>
                      <w:szCs w:val="22"/>
                      <w:lang w:val="it-IT"/>
                    </w:rPr>
                    <w:t xml:space="preserve"> </w:t>
                  </w:r>
                </w:p>
                <w:p w14:paraId="36E9410C"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2D713F9A"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Cerințele suplimentare pentru opțiuni legate de alte riscuri decât riscul delta se raportează defalcat în funcție de metoda utilizată pentru calcularea acestora. </w:t>
                  </w:r>
                </w:p>
                <w:p w14:paraId="6CA1D368"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0371DF19" w14:textId="77777777" w:rsidR="00D602CA" w:rsidRPr="00A24080" w:rsidRDefault="00D602CA" w:rsidP="0028208B">
            <w:pPr>
              <w:ind w:right="90"/>
              <w:rPr>
                <w:sz w:val="22"/>
                <w:szCs w:val="22"/>
                <w:lang w:val="ro-RO"/>
              </w:rPr>
            </w:pPr>
          </w:p>
        </w:tc>
        <w:tc>
          <w:tcPr>
            <w:tcW w:w="1418" w:type="dxa"/>
          </w:tcPr>
          <w:p w14:paraId="428875C8" w14:textId="559F5CA8" w:rsidR="00D602CA" w:rsidRPr="00A24080" w:rsidRDefault="00AC080D"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81B603D" w14:textId="0E1B3426" w:rsidR="00D602CA" w:rsidRPr="00A24080" w:rsidRDefault="00AC080D" w:rsidP="0028208B">
            <w:pPr>
              <w:jc w:val="both"/>
              <w:rPr>
                <w:bCs/>
                <w:sz w:val="22"/>
                <w:szCs w:val="22"/>
                <w:lang w:val="ro-RO"/>
              </w:rPr>
            </w:pPr>
            <w:r w:rsidRPr="00A24080">
              <w:rPr>
                <w:sz w:val="22"/>
                <w:szCs w:val="22"/>
                <w:lang w:val="ro-RO"/>
              </w:rPr>
              <w:t>Trimiterea la articolul 352 alin.(6) nu a fost transpusă deoarece alineatul respectiv stabilește obligații pentru autorități europene – Autoritatea Bancară Europeană</w:t>
            </w:r>
            <w:r w:rsidRPr="00A24080">
              <w:rPr>
                <w:bCs/>
                <w:sz w:val="22"/>
                <w:szCs w:val="22"/>
                <w:lang w:val="ro-MD"/>
              </w:rPr>
              <w:t>.</w:t>
            </w:r>
          </w:p>
        </w:tc>
      </w:tr>
      <w:tr w:rsidR="00D602CA" w:rsidRPr="00A24080" w14:paraId="0B0E7C2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0157973C" w14:textId="77777777" w:rsidTr="003146FA">
              <w:tc>
                <w:tcPr>
                  <w:tcW w:w="1056" w:type="dxa"/>
                </w:tcPr>
                <w:p w14:paraId="3C3954AD" w14:textId="2C4DBFCA"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0100-0120</w:t>
                  </w:r>
                </w:p>
              </w:tc>
              <w:tc>
                <w:tcPr>
                  <w:tcW w:w="3861" w:type="dxa"/>
                </w:tcPr>
                <w:p w14:paraId="3DC36D18"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Defalcarea pozițiilor totale (incluzând și moneda de raportare) pe tipuri de expuneri</w:t>
                  </w:r>
                </w:p>
                <w:p w14:paraId="0D3CFADA"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eastAsia="nl-BE"/>
                    </w:rPr>
                  </w:pPr>
                </w:p>
                <w:p w14:paraId="77703B75"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Pozițiile totale trebuie defalcate pe instrumente financiare derivate, alte active și datorii și elemente extrabilanțiere.</w:t>
                  </w:r>
                </w:p>
                <w:p w14:paraId="7E724896"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0477EB13"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53AF3C1C" w14:textId="77777777" w:rsidTr="003146FA">
              <w:tc>
                <w:tcPr>
                  <w:tcW w:w="1056" w:type="dxa"/>
                </w:tcPr>
                <w:p w14:paraId="5E9D59F0"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0100-0120</w:t>
                  </w:r>
                </w:p>
              </w:tc>
              <w:tc>
                <w:tcPr>
                  <w:tcW w:w="3861" w:type="dxa"/>
                </w:tcPr>
                <w:p w14:paraId="55902E7E"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Defalcarea pozițiilor totale (incluzând și moneda de raportare) pe tipuri de expuneri</w:t>
                  </w:r>
                </w:p>
                <w:p w14:paraId="17547D9B"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eastAsia="nl-BE"/>
                    </w:rPr>
                  </w:pPr>
                </w:p>
                <w:p w14:paraId="1F635104"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Pozițiile totale trebuie defalcate pe instrumente financiare derivate, alte active și datorii și elemente extrabilanțiere.</w:t>
                  </w:r>
                </w:p>
                <w:p w14:paraId="4027D8A6"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0781F712" w14:textId="77777777" w:rsidR="00D602CA" w:rsidRPr="00A24080" w:rsidRDefault="00D602CA" w:rsidP="0028208B">
            <w:pPr>
              <w:ind w:right="90"/>
              <w:rPr>
                <w:sz w:val="22"/>
                <w:szCs w:val="22"/>
                <w:lang w:val="ro-RO"/>
              </w:rPr>
            </w:pPr>
          </w:p>
        </w:tc>
        <w:tc>
          <w:tcPr>
            <w:tcW w:w="1418" w:type="dxa"/>
          </w:tcPr>
          <w:p w14:paraId="1FF025BD" w14:textId="3DAE7EBE"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AE47FFA" w14:textId="77777777" w:rsidR="00D602CA" w:rsidRPr="00A24080" w:rsidRDefault="00D602CA" w:rsidP="0028208B">
            <w:pPr>
              <w:jc w:val="both"/>
              <w:rPr>
                <w:bCs/>
                <w:sz w:val="22"/>
                <w:szCs w:val="22"/>
                <w:lang w:val="ro-RO"/>
              </w:rPr>
            </w:pPr>
          </w:p>
        </w:tc>
      </w:tr>
      <w:tr w:rsidR="00D602CA" w:rsidRPr="00A24080" w14:paraId="0EAF3A9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A24080" w14:paraId="28A56957" w14:textId="77777777" w:rsidTr="003146FA">
              <w:tc>
                <w:tcPr>
                  <w:tcW w:w="1056" w:type="dxa"/>
                </w:tcPr>
                <w:p w14:paraId="18518C46" w14:textId="1C56E3B1"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tcPr>
                <w:p w14:paraId="4C69BAE4"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Alte active și datorii decât elementele extrabilanțiere și instrumentele financiare derivate</w:t>
                  </w:r>
                </w:p>
                <w:p w14:paraId="0F33A282"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4AEE1B5C"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rPr>
                  </w:pPr>
                  <w:r w:rsidRPr="00A24080">
                    <w:rPr>
                      <w:sz w:val="22"/>
                      <w:szCs w:val="22"/>
                    </w:rPr>
                    <w:t xml:space="preserve">Pozițiile care nu sunt incluse pe rândul 0110 sau 0120 trebuie incluse aici. </w:t>
                  </w:r>
                </w:p>
                <w:p w14:paraId="0B7F2B1B" w14:textId="2B9C72DD"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 xml:space="preserve"> </w:t>
                  </w:r>
                </w:p>
              </w:tc>
            </w:tr>
          </w:tbl>
          <w:p w14:paraId="36A118EF"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A24080" w14:paraId="2A859543" w14:textId="77777777" w:rsidTr="003146FA">
              <w:tc>
                <w:tcPr>
                  <w:tcW w:w="1056" w:type="dxa"/>
                </w:tcPr>
                <w:p w14:paraId="01E50077"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tcPr>
                <w:p w14:paraId="494F875B"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Alte active și datorii decât elementele extrabilanțiere și instrumentele financiare derivate</w:t>
                  </w:r>
                </w:p>
                <w:p w14:paraId="0B089BC2"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644C28F5"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rPr>
                  </w:pPr>
                  <w:r w:rsidRPr="00A24080">
                    <w:rPr>
                      <w:sz w:val="22"/>
                      <w:szCs w:val="22"/>
                    </w:rPr>
                    <w:t xml:space="preserve">Pozițiile care nu sunt incluse pe rândul 0110 sau 0120 trebuie incluse aici. </w:t>
                  </w:r>
                </w:p>
                <w:p w14:paraId="58CC23C8"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 xml:space="preserve"> </w:t>
                  </w:r>
                </w:p>
              </w:tc>
            </w:tr>
          </w:tbl>
          <w:p w14:paraId="5D46692E" w14:textId="77777777" w:rsidR="00D602CA" w:rsidRPr="00A24080" w:rsidRDefault="00D602CA" w:rsidP="0028208B">
            <w:pPr>
              <w:ind w:right="90"/>
              <w:rPr>
                <w:sz w:val="22"/>
                <w:szCs w:val="22"/>
                <w:lang w:val="ro-RO"/>
              </w:rPr>
            </w:pPr>
          </w:p>
        </w:tc>
        <w:tc>
          <w:tcPr>
            <w:tcW w:w="1418" w:type="dxa"/>
          </w:tcPr>
          <w:p w14:paraId="713DFA2D" w14:textId="3AC358AF"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1B382D6" w14:textId="77777777" w:rsidR="00D602CA" w:rsidRPr="00A24080" w:rsidRDefault="00D602CA" w:rsidP="0028208B">
            <w:pPr>
              <w:jc w:val="both"/>
              <w:rPr>
                <w:bCs/>
                <w:sz w:val="22"/>
                <w:szCs w:val="22"/>
                <w:lang w:val="ro-RO"/>
              </w:rPr>
            </w:pPr>
          </w:p>
        </w:tc>
      </w:tr>
      <w:tr w:rsidR="00D602CA" w:rsidRPr="00A24080" w14:paraId="68B1CEA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44355BED" w14:textId="77777777" w:rsidTr="003146FA">
              <w:tc>
                <w:tcPr>
                  <w:tcW w:w="1056" w:type="dxa"/>
                </w:tcPr>
                <w:p w14:paraId="27017199" w14:textId="61597C5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0110</w:t>
                  </w:r>
                </w:p>
              </w:tc>
              <w:tc>
                <w:tcPr>
                  <w:tcW w:w="3861" w:type="dxa"/>
                </w:tcPr>
                <w:p w14:paraId="41040A6B"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Elemente extrabilanțiere</w:t>
                  </w:r>
                </w:p>
                <w:p w14:paraId="53108B87"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eastAsia="nl-BE"/>
                    </w:rPr>
                  </w:pPr>
                </w:p>
                <w:p w14:paraId="3CC5A005"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Elementele din sfera de aplicare a articolului 352 din Regulamentul (UE) </w:t>
                  </w:r>
                  <w:r w:rsidRPr="00A24080">
                    <w:rPr>
                      <w:sz w:val="22"/>
                      <w:szCs w:val="22"/>
                      <w:lang w:val="ro-RO"/>
                    </w:rPr>
                    <w:lastRenderedPageBreak/>
                    <w:t>nr. 575/2013, indiferent de moneda în care sunt denominate, incluse în anexa I la regulamentul respectiv, cu excepția celor incluse ca operațiuni de finanțare prin instrumente financiare și tranzacții cu termen lung de decontare sau care provin din compensare contractuală între produse diferite.</w:t>
                  </w:r>
                </w:p>
                <w:p w14:paraId="7D6FC715"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1A1CC8BE"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73014A1C" w14:textId="77777777" w:rsidTr="003146FA">
              <w:tc>
                <w:tcPr>
                  <w:tcW w:w="1056" w:type="dxa"/>
                </w:tcPr>
                <w:p w14:paraId="61BBEA81"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lastRenderedPageBreak/>
                    <w:t>0110</w:t>
                  </w:r>
                </w:p>
              </w:tc>
              <w:tc>
                <w:tcPr>
                  <w:tcW w:w="3861" w:type="dxa"/>
                </w:tcPr>
                <w:p w14:paraId="0120356D"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Elemente extrabilanțiere</w:t>
                  </w:r>
                </w:p>
                <w:p w14:paraId="4BAE52EA"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eastAsia="nl-BE"/>
                    </w:rPr>
                  </w:pPr>
                </w:p>
                <w:p w14:paraId="79AFBD50" w14:textId="6255D84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Elementele din sfera de aplicare a</w:t>
                  </w:r>
                  <w:r w:rsidR="00C91A84" w:rsidRPr="00A24080">
                    <w:rPr>
                      <w:sz w:val="22"/>
                      <w:szCs w:val="22"/>
                      <w:lang w:val="ro-RO"/>
                    </w:rPr>
                    <w:t xml:space="preserve"> titlului II capitolul V secțiunea 2 din </w:t>
                  </w:r>
                  <w:r w:rsidR="00C91A84" w:rsidRPr="00A24080">
                    <w:rPr>
                      <w:sz w:val="22"/>
                      <w:szCs w:val="22"/>
                      <w:lang w:val="ro-RO"/>
                    </w:rPr>
                    <w:lastRenderedPageBreak/>
                    <w:t>Regulamentul nr.XX/2026</w:t>
                  </w:r>
                  <w:r w:rsidRPr="00A24080">
                    <w:rPr>
                      <w:sz w:val="22"/>
                      <w:szCs w:val="22"/>
                      <w:lang w:val="ro-RO"/>
                    </w:rPr>
                    <w:t xml:space="preserve">, indiferent de moneda în care sunt denominate, incluse în anexa </w:t>
                  </w:r>
                  <w:r w:rsidR="00C91A84" w:rsidRPr="00A24080">
                    <w:rPr>
                      <w:sz w:val="22"/>
                      <w:szCs w:val="22"/>
                      <w:lang w:val="ro-RO"/>
                    </w:rPr>
                    <w:t xml:space="preserve">nr.1 </w:t>
                  </w:r>
                  <w:r w:rsidRPr="00A24080">
                    <w:rPr>
                      <w:sz w:val="22"/>
                      <w:szCs w:val="22"/>
                      <w:lang w:val="ro-RO"/>
                    </w:rPr>
                    <w:t xml:space="preserve">la </w:t>
                  </w:r>
                  <w:r w:rsidR="00C91A84" w:rsidRPr="00A24080">
                    <w:rPr>
                      <w:sz w:val="22"/>
                      <w:szCs w:val="22"/>
                      <w:lang w:val="ro-RO"/>
                    </w:rPr>
                    <w:t>R</w:t>
                  </w:r>
                  <w:r w:rsidRPr="00A24080">
                    <w:rPr>
                      <w:sz w:val="22"/>
                      <w:szCs w:val="22"/>
                      <w:lang w:val="ro-RO"/>
                    </w:rPr>
                    <w:t xml:space="preserve">egulamentul </w:t>
                  </w:r>
                  <w:r w:rsidR="00C91A84" w:rsidRPr="00A24080">
                    <w:rPr>
                      <w:sz w:val="22"/>
                      <w:szCs w:val="22"/>
                      <w:lang w:val="ro-RO"/>
                    </w:rPr>
                    <w:t>nr.111/2018</w:t>
                  </w:r>
                  <w:r w:rsidRPr="00A24080">
                    <w:rPr>
                      <w:sz w:val="22"/>
                      <w:szCs w:val="22"/>
                      <w:lang w:val="ro-RO"/>
                    </w:rPr>
                    <w:t>, cu excepția celor incluse ca operațiuni de finanțare prin instrumente financiare și tranzacții cu termen lung de decontare sau care provin din compensare contractuală între produse diferite.</w:t>
                  </w:r>
                </w:p>
                <w:p w14:paraId="65FE975A"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5D4DD925" w14:textId="77777777" w:rsidR="00D602CA" w:rsidRPr="00A24080" w:rsidRDefault="00D602CA" w:rsidP="0028208B">
            <w:pPr>
              <w:ind w:right="90"/>
              <w:rPr>
                <w:sz w:val="22"/>
                <w:szCs w:val="22"/>
                <w:lang w:val="ro-RO"/>
              </w:rPr>
            </w:pPr>
          </w:p>
        </w:tc>
        <w:tc>
          <w:tcPr>
            <w:tcW w:w="1418" w:type="dxa"/>
          </w:tcPr>
          <w:p w14:paraId="0E903C28" w14:textId="75C68C21" w:rsidR="00D602CA"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E608A98" w14:textId="77777777" w:rsidR="00D602CA" w:rsidRPr="00A24080" w:rsidRDefault="00D602CA" w:rsidP="0028208B">
            <w:pPr>
              <w:jc w:val="both"/>
              <w:rPr>
                <w:bCs/>
                <w:sz w:val="22"/>
                <w:szCs w:val="22"/>
                <w:lang w:val="ro-RO"/>
              </w:rPr>
            </w:pPr>
          </w:p>
        </w:tc>
      </w:tr>
      <w:tr w:rsidR="00D602CA" w:rsidRPr="00A24080" w14:paraId="44A4171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A24080" w14:paraId="4EC26F30" w14:textId="77777777" w:rsidTr="003146FA">
              <w:tc>
                <w:tcPr>
                  <w:tcW w:w="1056" w:type="dxa"/>
                </w:tcPr>
                <w:p w14:paraId="4E147122" w14:textId="11777E8D"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0120</w:t>
                  </w:r>
                </w:p>
              </w:tc>
              <w:tc>
                <w:tcPr>
                  <w:tcW w:w="3861" w:type="dxa"/>
                </w:tcPr>
                <w:p w14:paraId="303E905C"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rPr>
                  </w:pPr>
                  <w:r w:rsidRPr="00A24080">
                    <w:rPr>
                      <w:b/>
                      <w:sz w:val="22"/>
                      <w:szCs w:val="22"/>
                      <w:u w:val="single"/>
                    </w:rPr>
                    <w:t>Instrumente financiare derivate</w:t>
                  </w:r>
                </w:p>
                <w:p w14:paraId="6B34E88B"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eastAsia="nl-BE"/>
                    </w:rPr>
                  </w:pPr>
                </w:p>
                <w:p w14:paraId="67CA1581"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rPr>
                  </w:pPr>
                  <w:r w:rsidRPr="00A24080">
                    <w:rPr>
                      <w:sz w:val="22"/>
                      <w:szCs w:val="22"/>
                    </w:rPr>
                    <w:t>Poziții evaluate în conformitate cu articolul 352 din Regulamentul (UE) nr. 575/2013.</w:t>
                  </w:r>
                </w:p>
                <w:p w14:paraId="0144FD9F"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5DD78B46"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63C4C3AD" w14:textId="77777777" w:rsidTr="003146FA">
              <w:tc>
                <w:tcPr>
                  <w:tcW w:w="1056" w:type="dxa"/>
                </w:tcPr>
                <w:p w14:paraId="1384FC07"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0120</w:t>
                  </w:r>
                </w:p>
              </w:tc>
              <w:tc>
                <w:tcPr>
                  <w:tcW w:w="3861" w:type="dxa"/>
                </w:tcPr>
                <w:p w14:paraId="6FC542BA"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Instrumente financiare derivate</w:t>
                  </w:r>
                </w:p>
                <w:p w14:paraId="7D9DBD85"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277CA382" w14:textId="478C6A9E"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 evaluate în conformitate cu </w:t>
                  </w:r>
                  <w:r w:rsidR="00C75237" w:rsidRPr="00A24080">
                    <w:rPr>
                      <w:sz w:val="22"/>
                      <w:szCs w:val="22"/>
                      <w:lang w:val="ro-RO"/>
                    </w:rPr>
                    <w:t>titlul II capitolul V secțiunea 2</w:t>
                  </w:r>
                  <w:r w:rsidRPr="00A24080">
                    <w:rPr>
                      <w:sz w:val="22"/>
                      <w:szCs w:val="22"/>
                      <w:lang w:val="it-IT"/>
                    </w:rPr>
                    <w:t xml:space="preserve"> din Regulamentul  nr. </w:t>
                  </w:r>
                  <w:r w:rsidR="00C75237" w:rsidRPr="00A24080">
                    <w:rPr>
                      <w:sz w:val="22"/>
                      <w:szCs w:val="22"/>
                      <w:lang w:val="it-IT"/>
                    </w:rPr>
                    <w:t>XX/2026</w:t>
                  </w:r>
                  <w:r w:rsidRPr="00A24080">
                    <w:rPr>
                      <w:sz w:val="22"/>
                      <w:szCs w:val="22"/>
                      <w:lang w:val="it-IT"/>
                    </w:rPr>
                    <w:t>.</w:t>
                  </w:r>
                </w:p>
                <w:p w14:paraId="7399865E" w14:textId="77777777" w:rsidR="00D602CA" w:rsidRPr="00A24080" w:rsidRDefault="00D602CA" w:rsidP="0028208B">
                  <w:pPr>
                    <w:framePr w:hSpace="180" w:wrap="around" w:vAnchor="text" w:hAnchor="text" w:x="-612" w:y="1"/>
                    <w:ind w:right="90"/>
                    <w:suppressOverlap/>
                    <w:jc w:val="both"/>
                    <w:rPr>
                      <w:sz w:val="22"/>
                      <w:szCs w:val="22"/>
                      <w:lang w:val="ro-RO"/>
                    </w:rPr>
                  </w:pPr>
                </w:p>
              </w:tc>
            </w:tr>
          </w:tbl>
          <w:p w14:paraId="3106E39B" w14:textId="77777777" w:rsidR="00D602CA" w:rsidRPr="00A24080" w:rsidRDefault="00D602CA" w:rsidP="0028208B">
            <w:pPr>
              <w:ind w:right="90"/>
              <w:rPr>
                <w:sz w:val="22"/>
                <w:szCs w:val="22"/>
                <w:lang w:val="ro-RO"/>
              </w:rPr>
            </w:pPr>
          </w:p>
        </w:tc>
        <w:tc>
          <w:tcPr>
            <w:tcW w:w="1418" w:type="dxa"/>
          </w:tcPr>
          <w:p w14:paraId="70568FB7" w14:textId="27A3853A"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3D45A96" w14:textId="77777777" w:rsidR="00D602CA" w:rsidRPr="00A24080" w:rsidRDefault="00D602CA" w:rsidP="0028208B">
            <w:pPr>
              <w:jc w:val="both"/>
              <w:rPr>
                <w:bCs/>
                <w:sz w:val="22"/>
                <w:szCs w:val="22"/>
                <w:lang w:val="ro-RO"/>
              </w:rPr>
            </w:pPr>
          </w:p>
        </w:tc>
      </w:tr>
      <w:tr w:rsidR="00D602CA" w:rsidRPr="00EE7DB0" w14:paraId="3F92DC07"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797B7E2A" w14:textId="77777777" w:rsidTr="003146FA">
              <w:tc>
                <w:tcPr>
                  <w:tcW w:w="1056" w:type="dxa"/>
                </w:tcPr>
                <w:p w14:paraId="143067A6" w14:textId="6450F2DE"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0130-0480</w:t>
                  </w:r>
                </w:p>
              </w:tc>
              <w:tc>
                <w:tcPr>
                  <w:tcW w:w="3861" w:type="dxa"/>
                </w:tcPr>
                <w:p w14:paraId="10820BB6"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b/>
                      <w:sz w:val="22"/>
                      <w:szCs w:val="22"/>
                      <w:u w:val="single"/>
                      <w:lang w:val="ro-RO"/>
                    </w:rPr>
                    <w:t>ELEMENTE MEMORANDUM: POZIȚII VALUTARE</w:t>
                  </w:r>
                </w:p>
                <w:p w14:paraId="2004F6C4" w14:textId="2668D884"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Elementele memorandum din formular se completează separat pentru toate monedele statelor membre ale Uniunii, pentru monedele următoare: GBP, USD, CHF, JPY, RUB, TRY, AUD, CAD, RSD, ALL, UAH, MKD, EGP, ARS, BRL, MXN, HKD, ICK, TWD, NZD, NOK, SGD, KRW, CNY și pentru toate celelalte monede. </w:t>
                  </w:r>
                </w:p>
              </w:tc>
            </w:tr>
          </w:tbl>
          <w:p w14:paraId="50A09CE4"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0B8D28E9" w14:textId="77777777" w:rsidTr="003146FA">
              <w:tc>
                <w:tcPr>
                  <w:tcW w:w="1056" w:type="dxa"/>
                </w:tcPr>
                <w:p w14:paraId="0E93A3AF"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0130-0480</w:t>
                  </w:r>
                </w:p>
              </w:tc>
              <w:tc>
                <w:tcPr>
                  <w:tcW w:w="3861" w:type="dxa"/>
                </w:tcPr>
                <w:p w14:paraId="50FB3043" w14:textId="77777777"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b/>
                      <w:sz w:val="22"/>
                      <w:szCs w:val="22"/>
                      <w:u w:val="single"/>
                      <w:lang w:val="ro-RO"/>
                    </w:rPr>
                    <w:t>ELEMENTE MEMORANDUM: POZIȚII VALUTARE</w:t>
                  </w:r>
                </w:p>
                <w:p w14:paraId="3229E043" w14:textId="029DA16B" w:rsidR="00D602CA" w:rsidRPr="00A24080" w:rsidRDefault="00D602CA"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Elementele memorandum din formular se completează separat pentru toate monedele statelor membre ale Uniunii, pentru monedele următoare: GBP, USD, CHF, JPY, RUB, TRY, AUD, CAD, RSD, ALL, UAH, </w:t>
                  </w:r>
                  <w:r w:rsidR="003D3B30" w:rsidRPr="00A24080">
                    <w:rPr>
                      <w:sz w:val="22"/>
                      <w:szCs w:val="22"/>
                      <w:lang w:val="ro-RO"/>
                    </w:rPr>
                    <w:t xml:space="preserve">MDL, </w:t>
                  </w:r>
                  <w:r w:rsidRPr="00A24080">
                    <w:rPr>
                      <w:sz w:val="22"/>
                      <w:szCs w:val="22"/>
                      <w:lang w:val="ro-RO"/>
                    </w:rPr>
                    <w:t xml:space="preserve">MKD, EGP, ARS, BRL, MXN, HKD, ICK, TWD, NZD, NOK, SGD, KRW, CNY și pentru toate celelalte monede. </w:t>
                  </w:r>
                </w:p>
              </w:tc>
            </w:tr>
          </w:tbl>
          <w:p w14:paraId="3CAFB876" w14:textId="77777777" w:rsidR="00D602CA" w:rsidRPr="00A24080" w:rsidRDefault="00D602CA" w:rsidP="0028208B">
            <w:pPr>
              <w:ind w:right="90"/>
              <w:rPr>
                <w:sz w:val="22"/>
                <w:szCs w:val="22"/>
                <w:lang w:val="ro-RO"/>
              </w:rPr>
            </w:pPr>
          </w:p>
        </w:tc>
        <w:tc>
          <w:tcPr>
            <w:tcW w:w="1418" w:type="dxa"/>
          </w:tcPr>
          <w:p w14:paraId="3C445458" w14:textId="03E6367F"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46486C4" w14:textId="23478FCB" w:rsidR="00D602CA" w:rsidRPr="00A24080" w:rsidRDefault="003D3B30" w:rsidP="0028208B">
            <w:pPr>
              <w:jc w:val="both"/>
              <w:rPr>
                <w:bCs/>
                <w:sz w:val="22"/>
                <w:szCs w:val="22"/>
                <w:lang w:val="ro-RO"/>
              </w:rPr>
            </w:pPr>
            <w:r w:rsidRPr="00A24080">
              <w:rPr>
                <w:sz w:val="22"/>
                <w:szCs w:val="22"/>
                <w:lang w:val="ro-RO"/>
              </w:rPr>
              <w:t>Lista monedelor în care formularul trebuie să fie completat a fost completată cu leul moldovenesc (MDL).</w:t>
            </w:r>
          </w:p>
        </w:tc>
      </w:tr>
      <w:tr w:rsidR="00D602CA" w:rsidRPr="00A24080" w14:paraId="5B1A821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7EB6833C" w14:textId="77777777" w:rsidTr="003146FA">
              <w:tc>
                <w:tcPr>
                  <w:tcW w:w="1056" w:type="dxa"/>
                </w:tcPr>
                <w:p w14:paraId="11A3FD9B" w14:textId="7C012118"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0470</w:t>
                  </w:r>
                </w:p>
              </w:tc>
              <w:tc>
                <w:tcPr>
                  <w:tcW w:w="3861" w:type="dxa"/>
                </w:tcPr>
                <w:p w14:paraId="525F8237"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Altele</w:t>
                  </w:r>
                </w:p>
                <w:p w14:paraId="5B44EFF5" w14:textId="414DB5ED"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lang w:val="ro-RO"/>
                    </w:rPr>
                    <w:t>Pozițiile pe aur și pozițiile pe OPC-uri tratate ca valută distinctă în conformitate cu articolul 353 alineatul (3) din Regulamentul (UE) nr. 575/2013 se includ pe acest rând.</w:t>
                  </w:r>
                </w:p>
              </w:tc>
            </w:tr>
          </w:tbl>
          <w:p w14:paraId="1A0A4D2D" w14:textId="77777777" w:rsidR="00D602CA" w:rsidRPr="00A24080" w:rsidRDefault="00D602CA"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602CA" w:rsidRPr="00EE7DB0" w14:paraId="65253FF0" w14:textId="77777777" w:rsidTr="003146FA">
              <w:tc>
                <w:tcPr>
                  <w:tcW w:w="1056" w:type="dxa"/>
                </w:tcPr>
                <w:p w14:paraId="41671975" w14:textId="77777777"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rPr>
                    <w:t>0470</w:t>
                  </w:r>
                </w:p>
              </w:tc>
              <w:tc>
                <w:tcPr>
                  <w:tcW w:w="3861" w:type="dxa"/>
                </w:tcPr>
                <w:p w14:paraId="2B487ACB" w14:textId="77777777" w:rsidR="00D602CA" w:rsidRPr="00A24080" w:rsidRDefault="00D602CA"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Altele</w:t>
                  </w:r>
                </w:p>
                <w:p w14:paraId="169B76B2" w14:textId="79EDBF9C" w:rsidR="00D602CA" w:rsidRPr="00A24080" w:rsidRDefault="00D602CA" w:rsidP="0028208B">
                  <w:pPr>
                    <w:framePr w:hSpace="180" w:wrap="around" w:vAnchor="text" w:hAnchor="text" w:x="-612" w:y="1"/>
                    <w:ind w:right="90"/>
                    <w:suppressOverlap/>
                    <w:jc w:val="both"/>
                    <w:rPr>
                      <w:sz w:val="22"/>
                      <w:szCs w:val="22"/>
                      <w:lang w:val="ro-RO"/>
                    </w:rPr>
                  </w:pPr>
                  <w:r w:rsidRPr="00A24080">
                    <w:rPr>
                      <w:sz w:val="22"/>
                      <w:szCs w:val="22"/>
                      <w:lang w:val="ro-RO"/>
                    </w:rPr>
                    <w:t xml:space="preserve">Pozițiile pe aur și pozițiile pe OPC-uri tratate ca valută distinctă în conformitate cu </w:t>
                  </w:r>
                  <w:r w:rsidR="000A1E61" w:rsidRPr="00A24080">
                    <w:rPr>
                      <w:sz w:val="22"/>
                      <w:szCs w:val="22"/>
                      <w:lang w:val="ro-RO"/>
                    </w:rPr>
                    <w:t>pct.506</w:t>
                  </w:r>
                  <w:r w:rsidRPr="00A24080">
                    <w:rPr>
                      <w:sz w:val="22"/>
                      <w:szCs w:val="22"/>
                      <w:lang w:val="ro-RO"/>
                    </w:rPr>
                    <w:t xml:space="preserve"> din Regulamentul  nr. </w:t>
                  </w:r>
                  <w:r w:rsidR="000A1E61" w:rsidRPr="00A24080">
                    <w:rPr>
                      <w:sz w:val="22"/>
                      <w:szCs w:val="22"/>
                      <w:lang w:val="ro-RO"/>
                    </w:rPr>
                    <w:t>XX/2026</w:t>
                  </w:r>
                  <w:r w:rsidRPr="00A24080">
                    <w:rPr>
                      <w:sz w:val="22"/>
                      <w:szCs w:val="22"/>
                      <w:lang w:val="ro-RO"/>
                    </w:rPr>
                    <w:t xml:space="preserve"> se includ pe acest rând.</w:t>
                  </w:r>
                </w:p>
              </w:tc>
            </w:tr>
          </w:tbl>
          <w:p w14:paraId="183F79BD" w14:textId="77777777" w:rsidR="00D602CA" w:rsidRPr="00A24080" w:rsidRDefault="00D602CA" w:rsidP="0028208B">
            <w:pPr>
              <w:ind w:right="90"/>
              <w:rPr>
                <w:sz w:val="22"/>
                <w:szCs w:val="22"/>
                <w:lang w:val="ro-RO"/>
              </w:rPr>
            </w:pPr>
          </w:p>
        </w:tc>
        <w:tc>
          <w:tcPr>
            <w:tcW w:w="1418" w:type="dxa"/>
          </w:tcPr>
          <w:p w14:paraId="562DF896" w14:textId="2E39DAEE"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CA683C9" w14:textId="77777777" w:rsidR="00D602CA" w:rsidRPr="00A24080" w:rsidRDefault="00D602CA" w:rsidP="0028208B">
            <w:pPr>
              <w:jc w:val="both"/>
              <w:rPr>
                <w:bCs/>
                <w:sz w:val="22"/>
                <w:szCs w:val="22"/>
                <w:lang w:val="ro-RO"/>
              </w:rPr>
            </w:pPr>
          </w:p>
        </w:tc>
      </w:tr>
      <w:tr w:rsidR="00D602CA" w:rsidRPr="002862FD" w14:paraId="7BDCD882" w14:textId="77777777" w:rsidTr="0028208B">
        <w:tc>
          <w:tcPr>
            <w:tcW w:w="5143" w:type="dxa"/>
          </w:tcPr>
          <w:p w14:paraId="6503A8CE" w14:textId="75768E51" w:rsidR="00D602CA" w:rsidRPr="00A24080" w:rsidRDefault="00D602CA" w:rsidP="0028208B">
            <w:pPr>
              <w:ind w:right="90"/>
              <w:jc w:val="both"/>
              <w:rPr>
                <w:sz w:val="22"/>
                <w:szCs w:val="22"/>
              </w:rPr>
            </w:pPr>
            <w:r w:rsidRPr="00A24080">
              <w:rPr>
                <w:sz w:val="22"/>
                <w:szCs w:val="22"/>
              </w:rPr>
              <w:lastRenderedPageBreak/>
              <w:t>5.6.</w:t>
            </w:r>
            <w:r w:rsidRPr="00A24080">
              <w:rPr>
                <w:sz w:val="22"/>
                <w:szCs w:val="22"/>
                <w:lang w:val="ro-MD"/>
              </w:rPr>
              <w:t xml:space="preserve"> </w:t>
            </w:r>
            <w:r w:rsidRPr="00A24080">
              <w:rPr>
                <w:sz w:val="22"/>
                <w:szCs w:val="22"/>
              </w:rPr>
              <w:t>C 23.01 – Riscul de piață: abordarea standardizată simplificată pentru riscul de marfă (MKR SSA COM)</w:t>
            </w:r>
          </w:p>
        </w:tc>
        <w:tc>
          <w:tcPr>
            <w:tcW w:w="5103" w:type="dxa"/>
          </w:tcPr>
          <w:p w14:paraId="586FE4B7" w14:textId="64BC751F" w:rsidR="00D602CA" w:rsidRPr="00A24080" w:rsidRDefault="00960865" w:rsidP="0028208B">
            <w:pPr>
              <w:ind w:right="90"/>
              <w:jc w:val="both"/>
              <w:rPr>
                <w:sz w:val="22"/>
                <w:szCs w:val="22"/>
              </w:rPr>
            </w:pPr>
            <w:bookmarkStart w:id="26" w:name="_Hlk228889297"/>
            <w:r w:rsidRPr="00A24080">
              <w:rPr>
                <w:b/>
                <w:i/>
                <w:sz w:val="22"/>
                <w:szCs w:val="22"/>
                <w:lang w:val="pt-BR"/>
              </w:rPr>
              <w:t>Secțiunea 7</w:t>
            </w:r>
            <w:r w:rsidR="00D602CA" w:rsidRPr="00A24080">
              <w:rPr>
                <w:sz w:val="22"/>
                <w:szCs w:val="22"/>
              </w:rPr>
              <w:t>.</w:t>
            </w:r>
            <w:r w:rsidR="00D602CA" w:rsidRPr="00A24080">
              <w:rPr>
                <w:sz w:val="22"/>
                <w:szCs w:val="22"/>
                <w:lang w:val="ro-MD"/>
              </w:rPr>
              <w:t xml:space="preserve"> </w:t>
            </w:r>
            <w:r w:rsidR="00D602CA" w:rsidRPr="00A24080">
              <w:rPr>
                <w:sz w:val="22"/>
                <w:szCs w:val="22"/>
              </w:rPr>
              <w:t>C 23.01 – Riscul de piață: abord</w:t>
            </w:r>
            <w:r w:rsidR="002862FD">
              <w:rPr>
                <w:sz w:val="22"/>
                <w:szCs w:val="22"/>
                <w:lang w:val="ro-RO"/>
              </w:rPr>
              <w:t>ări</w:t>
            </w:r>
            <w:r w:rsidR="00D602CA" w:rsidRPr="00A24080">
              <w:rPr>
                <w:sz w:val="22"/>
                <w:szCs w:val="22"/>
              </w:rPr>
              <w:t xml:space="preserve"> standardizat</w:t>
            </w:r>
            <w:r w:rsidR="002862FD">
              <w:rPr>
                <w:sz w:val="22"/>
                <w:szCs w:val="22"/>
                <w:lang w:val="ro-RO"/>
              </w:rPr>
              <w:t>e</w:t>
            </w:r>
            <w:r w:rsidR="00D602CA" w:rsidRPr="00A24080">
              <w:rPr>
                <w:sz w:val="22"/>
                <w:szCs w:val="22"/>
              </w:rPr>
              <w:t xml:space="preserve"> simplificat</w:t>
            </w:r>
            <w:r w:rsidR="002862FD">
              <w:rPr>
                <w:sz w:val="22"/>
                <w:szCs w:val="22"/>
                <w:lang w:val="ro-RO"/>
              </w:rPr>
              <w:t>e</w:t>
            </w:r>
            <w:r w:rsidR="00D602CA" w:rsidRPr="00A24080">
              <w:rPr>
                <w:sz w:val="22"/>
                <w:szCs w:val="22"/>
              </w:rPr>
              <w:t xml:space="preserve"> pentru riscul de marfă (MKR SSA COM)</w:t>
            </w:r>
            <w:bookmarkEnd w:id="26"/>
          </w:p>
        </w:tc>
        <w:tc>
          <w:tcPr>
            <w:tcW w:w="1418" w:type="dxa"/>
          </w:tcPr>
          <w:p w14:paraId="57A62050" w14:textId="377DD7B2"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B32831E" w14:textId="68A2417D" w:rsidR="00D602CA" w:rsidRPr="00A24080" w:rsidRDefault="002862FD" w:rsidP="0028208B">
            <w:pPr>
              <w:jc w:val="both"/>
              <w:rPr>
                <w:bCs/>
                <w:sz w:val="22"/>
                <w:szCs w:val="22"/>
                <w:lang w:val="ro-RO"/>
              </w:rPr>
            </w:pPr>
            <w:r w:rsidRPr="002862FD">
              <w:rPr>
                <w:bCs/>
                <w:sz w:val="22"/>
                <w:szCs w:val="22"/>
                <w:lang w:val="ro-RO"/>
              </w:rPr>
              <w:t xml:space="preserve">Denumirea </w:t>
            </w:r>
            <w:r>
              <w:rPr>
                <w:bCs/>
                <w:sz w:val="22"/>
                <w:szCs w:val="22"/>
                <w:lang w:val="ro-RO"/>
              </w:rPr>
              <w:t>secțiunii 7</w:t>
            </w:r>
            <w:r w:rsidRPr="002862FD">
              <w:rPr>
                <w:bCs/>
                <w:sz w:val="22"/>
                <w:szCs w:val="22"/>
                <w:lang w:val="ro-RO"/>
              </w:rPr>
              <w:t xml:space="preserve"> a fost ajustată cu denumirea formularul</w:t>
            </w:r>
            <w:r>
              <w:rPr>
                <w:bCs/>
                <w:sz w:val="22"/>
                <w:szCs w:val="22"/>
                <w:lang w:val="ro-RO"/>
              </w:rPr>
              <w:t>ui</w:t>
            </w:r>
            <w:r w:rsidRPr="002862FD">
              <w:rPr>
                <w:bCs/>
                <w:sz w:val="22"/>
                <w:szCs w:val="22"/>
                <w:lang w:val="ro-RO"/>
              </w:rPr>
              <w:t xml:space="preserve"> raportului C 2</w:t>
            </w:r>
            <w:r>
              <w:rPr>
                <w:bCs/>
                <w:sz w:val="22"/>
                <w:szCs w:val="22"/>
                <w:lang w:val="ro-RO"/>
              </w:rPr>
              <w:t>3</w:t>
            </w:r>
            <w:r w:rsidRPr="002862FD">
              <w:rPr>
                <w:bCs/>
                <w:sz w:val="22"/>
                <w:szCs w:val="22"/>
                <w:lang w:val="ro-RO"/>
              </w:rPr>
              <w:t>.01.</w:t>
            </w:r>
          </w:p>
        </w:tc>
      </w:tr>
      <w:tr w:rsidR="00D602CA" w:rsidRPr="00A24080" w14:paraId="28F3168E" w14:textId="77777777" w:rsidTr="0028208B">
        <w:tc>
          <w:tcPr>
            <w:tcW w:w="5143" w:type="dxa"/>
          </w:tcPr>
          <w:p w14:paraId="37EFD7EC" w14:textId="625E3C0F" w:rsidR="00D602CA" w:rsidRPr="00A24080" w:rsidRDefault="00D602CA" w:rsidP="0028208B">
            <w:pPr>
              <w:ind w:right="90"/>
              <w:jc w:val="both"/>
              <w:rPr>
                <w:sz w:val="22"/>
                <w:szCs w:val="22"/>
              </w:rPr>
            </w:pPr>
            <w:r w:rsidRPr="00A24080">
              <w:rPr>
                <w:sz w:val="22"/>
                <w:szCs w:val="22"/>
              </w:rPr>
              <w:t>5.6.1.</w:t>
            </w:r>
            <w:r w:rsidRPr="00A24080">
              <w:rPr>
                <w:sz w:val="22"/>
                <w:szCs w:val="22"/>
                <w:lang w:val="ro-MD"/>
              </w:rPr>
              <w:t xml:space="preserve"> </w:t>
            </w:r>
            <w:r w:rsidRPr="00A24080">
              <w:rPr>
                <w:sz w:val="22"/>
                <w:szCs w:val="22"/>
              </w:rPr>
              <w:t>Observații generale</w:t>
            </w:r>
          </w:p>
        </w:tc>
        <w:tc>
          <w:tcPr>
            <w:tcW w:w="5103" w:type="dxa"/>
          </w:tcPr>
          <w:p w14:paraId="073B54D3" w14:textId="5711F060" w:rsidR="00D602CA" w:rsidRPr="00A24080" w:rsidRDefault="00960865" w:rsidP="0028208B">
            <w:pPr>
              <w:ind w:right="90"/>
              <w:jc w:val="both"/>
              <w:rPr>
                <w:sz w:val="22"/>
                <w:szCs w:val="22"/>
              </w:rPr>
            </w:pPr>
            <w:bookmarkStart w:id="27" w:name="_Hlk228889321"/>
            <w:r w:rsidRPr="00A24080">
              <w:rPr>
                <w:sz w:val="22"/>
                <w:szCs w:val="22"/>
                <w:lang w:val="ro-RO"/>
              </w:rPr>
              <w:t>Subsecțiunea 1</w:t>
            </w:r>
            <w:r w:rsidR="00D602CA" w:rsidRPr="00A24080">
              <w:rPr>
                <w:sz w:val="22"/>
                <w:szCs w:val="22"/>
              </w:rPr>
              <w:t>.</w:t>
            </w:r>
            <w:r w:rsidR="00D602CA" w:rsidRPr="00A24080">
              <w:rPr>
                <w:sz w:val="22"/>
                <w:szCs w:val="22"/>
                <w:lang w:val="ro-MD"/>
              </w:rPr>
              <w:t xml:space="preserve"> </w:t>
            </w:r>
            <w:r w:rsidR="00D602CA" w:rsidRPr="00A24080">
              <w:rPr>
                <w:sz w:val="22"/>
                <w:szCs w:val="22"/>
              </w:rPr>
              <w:t>Observații generale</w:t>
            </w:r>
            <w:bookmarkEnd w:id="27"/>
          </w:p>
        </w:tc>
        <w:tc>
          <w:tcPr>
            <w:tcW w:w="1418" w:type="dxa"/>
          </w:tcPr>
          <w:p w14:paraId="0A31DF33" w14:textId="2EDA83FA"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64C5203" w14:textId="77777777" w:rsidR="00D602CA" w:rsidRPr="00A24080" w:rsidRDefault="00D602CA" w:rsidP="0028208B">
            <w:pPr>
              <w:jc w:val="both"/>
              <w:rPr>
                <w:bCs/>
                <w:sz w:val="22"/>
                <w:szCs w:val="22"/>
                <w:lang w:val="ro-RO"/>
              </w:rPr>
            </w:pPr>
          </w:p>
        </w:tc>
      </w:tr>
      <w:tr w:rsidR="00D602CA" w:rsidRPr="00A24080" w14:paraId="17C65C1B" w14:textId="77777777" w:rsidTr="0028208B">
        <w:tc>
          <w:tcPr>
            <w:tcW w:w="5143" w:type="dxa"/>
          </w:tcPr>
          <w:p w14:paraId="75A4F347" w14:textId="449F4BD7" w:rsidR="00D602CA" w:rsidRPr="00A24080" w:rsidRDefault="00D602CA" w:rsidP="0028208B">
            <w:pPr>
              <w:ind w:right="90"/>
              <w:jc w:val="both"/>
              <w:rPr>
                <w:sz w:val="22"/>
                <w:szCs w:val="22"/>
                <w:lang w:val="ro-RO"/>
              </w:rPr>
            </w:pPr>
            <w:r w:rsidRPr="00A24080">
              <w:rPr>
                <w:sz w:val="22"/>
                <w:szCs w:val="22"/>
                <w:lang w:val="ro-RO"/>
              </w:rPr>
              <w:t>173.</w:t>
            </w:r>
            <w:r w:rsidRPr="00A24080">
              <w:rPr>
                <w:sz w:val="22"/>
                <w:szCs w:val="22"/>
                <w:lang w:val="ro-RO"/>
              </w:rPr>
              <w:tab/>
              <w:t xml:space="preserve"> Acest formular prevede furnizarea de informații privind pozițiile pe mărfuri și cerințele de fonduri proprii aferente acestora, tratate conform abordării standardizate.</w:t>
            </w:r>
          </w:p>
        </w:tc>
        <w:tc>
          <w:tcPr>
            <w:tcW w:w="5103" w:type="dxa"/>
          </w:tcPr>
          <w:p w14:paraId="5415D62A" w14:textId="6DECAC19" w:rsidR="00D602CA" w:rsidRPr="00A24080" w:rsidRDefault="00960865" w:rsidP="0028208B">
            <w:pPr>
              <w:ind w:right="90"/>
              <w:jc w:val="both"/>
              <w:rPr>
                <w:sz w:val="22"/>
                <w:szCs w:val="22"/>
                <w:lang w:val="ro-RO"/>
              </w:rPr>
            </w:pPr>
            <w:bookmarkStart w:id="28" w:name="_Hlk228889344"/>
            <w:r w:rsidRPr="00A24080">
              <w:rPr>
                <w:sz w:val="22"/>
                <w:szCs w:val="22"/>
                <w:lang w:val="ro-RO"/>
              </w:rPr>
              <w:t>16</w:t>
            </w:r>
            <w:r w:rsidR="00D602CA" w:rsidRPr="00A24080">
              <w:rPr>
                <w:sz w:val="22"/>
                <w:szCs w:val="22"/>
                <w:lang w:val="ro-RO"/>
              </w:rPr>
              <w:t>.</w:t>
            </w:r>
            <w:r w:rsidR="00D602CA" w:rsidRPr="00A24080">
              <w:rPr>
                <w:sz w:val="22"/>
                <w:szCs w:val="22"/>
                <w:lang w:val="ro-RO"/>
              </w:rPr>
              <w:tab/>
              <w:t xml:space="preserve"> Acest formular prevede furnizarea de informații privind pozițiile pe mărfuri și cerințele de fonduri proprii aferente acestora, tratate conform abordării standardizate.</w:t>
            </w:r>
            <w:bookmarkEnd w:id="28"/>
          </w:p>
        </w:tc>
        <w:tc>
          <w:tcPr>
            <w:tcW w:w="1418" w:type="dxa"/>
          </w:tcPr>
          <w:p w14:paraId="64C5EE56" w14:textId="6287812E"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855345C" w14:textId="77777777" w:rsidR="00D602CA" w:rsidRPr="00A24080" w:rsidRDefault="00D602CA" w:rsidP="0028208B">
            <w:pPr>
              <w:jc w:val="both"/>
              <w:rPr>
                <w:bCs/>
                <w:sz w:val="22"/>
                <w:szCs w:val="22"/>
                <w:lang w:val="ro-RO"/>
              </w:rPr>
            </w:pPr>
          </w:p>
        </w:tc>
      </w:tr>
      <w:tr w:rsidR="00D602CA" w:rsidRPr="00A24080" w14:paraId="6B128028" w14:textId="77777777" w:rsidTr="0028208B">
        <w:tc>
          <w:tcPr>
            <w:tcW w:w="5143" w:type="dxa"/>
          </w:tcPr>
          <w:p w14:paraId="361EC437" w14:textId="21614B4A" w:rsidR="00D602CA" w:rsidRPr="00A24080" w:rsidRDefault="00D602CA" w:rsidP="0028208B">
            <w:pPr>
              <w:ind w:right="90"/>
              <w:jc w:val="both"/>
              <w:rPr>
                <w:sz w:val="22"/>
                <w:szCs w:val="22"/>
                <w:lang w:val="ro-RO"/>
              </w:rPr>
            </w:pPr>
            <w:r w:rsidRPr="00A24080">
              <w:rPr>
                <w:sz w:val="22"/>
                <w:szCs w:val="22"/>
                <w:lang w:val="ro-RO"/>
              </w:rPr>
              <w:t>5.6.2.</w:t>
            </w:r>
            <w:r w:rsidRPr="00A24080">
              <w:rPr>
                <w:sz w:val="22"/>
                <w:szCs w:val="22"/>
                <w:lang w:val="ro-RO"/>
              </w:rPr>
              <w:tab/>
              <w:t>Instrucțiuni privind anumite poziții</w:t>
            </w:r>
          </w:p>
        </w:tc>
        <w:tc>
          <w:tcPr>
            <w:tcW w:w="5103" w:type="dxa"/>
          </w:tcPr>
          <w:p w14:paraId="555A37AA" w14:textId="4C0C3823" w:rsidR="00D602CA" w:rsidRPr="00A24080" w:rsidRDefault="00D602CA" w:rsidP="0028208B">
            <w:pPr>
              <w:ind w:right="90"/>
              <w:jc w:val="both"/>
              <w:rPr>
                <w:sz w:val="22"/>
                <w:szCs w:val="22"/>
                <w:lang w:val="ro-RO"/>
              </w:rPr>
            </w:pPr>
            <w:r w:rsidRPr="00A24080">
              <w:rPr>
                <w:sz w:val="22"/>
                <w:szCs w:val="22"/>
                <w:lang w:val="ro-RO"/>
              </w:rPr>
              <w:t>Instrucțiuni privind anumite poziții</w:t>
            </w:r>
          </w:p>
        </w:tc>
        <w:tc>
          <w:tcPr>
            <w:tcW w:w="1418" w:type="dxa"/>
          </w:tcPr>
          <w:p w14:paraId="01164BC1" w14:textId="02E3ECEE"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F64DA2B" w14:textId="77777777" w:rsidR="00D602CA" w:rsidRPr="00A24080" w:rsidRDefault="00D602CA" w:rsidP="0028208B">
            <w:pPr>
              <w:jc w:val="both"/>
              <w:rPr>
                <w:bCs/>
                <w:sz w:val="22"/>
                <w:szCs w:val="22"/>
                <w:lang w:val="ro-RO"/>
              </w:rPr>
            </w:pPr>
          </w:p>
        </w:tc>
      </w:tr>
      <w:tr w:rsidR="00D602CA" w:rsidRPr="00A24080" w14:paraId="5F23C0B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A24080" w14:paraId="53CB2AF3" w14:textId="77777777" w:rsidTr="00FF5A31">
              <w:tc>
                <w:tcPr>
                  <w:tcW w:w="4917" w:type="dxa"/>
                  <w:gridSpan w:val="2"/>
                  <w:shd w:val="clear" w:color="auto" w:fill="D0CECE" w:themeFill="background2" w:themeFillShade="E6"/>
                </w:tcPr>
                <w:p w14:paraId="433E9AF3" w14:textId="1EB8ABDF" w:rsidR="00FF5A31" w:rsidRPr="00A24080" w:rsidRDefault="00FF5A31"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FF5A31" w:rsidRPr="00EE7DB0" w14:paraId="52BC0BF9" w14:textId="77777777" w:rsidTr="00FF5A31">
              <w:tc>
                <w:tcPr>
                  <w:tcW w:w="1056" w:type="dxa"/>
                </w:tcPr>
                <w:p w14:paraId="343BA1D7" w14:textId="37CBD195"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tcPr>
                <w:p w14:paraId="21341952"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66BC309C"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5CA1B7FF"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brute lungi/scurte considerate a fi poziții pe aceeași marfă în conformitate cu articolul 357 alineatul (4) din Regulamentul (UE) nr. 575/2013 [a se vedea, de asemenea, articolul 359 alineatul (1) din Regulamentul (UE) nr. 575/2013].</w:t>
                  </w:r>
                </w:p>
                <w:p w14:paraId="6EBC8EB8" w14:textId="28C4F0E0" w:rsidR="00FF5A31" w:rsidRPr="00A24080" w:rsidRDefault="00FF5A31" w:rsidP="0028208B">
                  <w:pPr>
                    <w:framePr w:hSpace="180" w:wrap="around" w:vAnchor="text" w:hAnchor="text" w:x="-612" w:y="1"/>
                    <w:ind w:right="90"/>
                    <w:suppressOverlap/>
                    <w:jc w:val="both"/>
                    <w:rPr>
                      <w:sz w:val="22"/>
                      <w:szCs w:val="22"/>
                      <w:lang w:val="ro-RO"/>
                    </w:rPr>
                  </w:pPr>
                </w:p>
              </w:tc>
            </w:tr>
          </w:tbl>
          <w:p w14:paraId="0C5226EF"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A24080" w14:paraId="2EB4EE88" w14:textId="77777777" w:rsidTr="00FF5A31">
              <w:tc>
                <w:tcPr>
                  <w:tcW w:w="4917" w:type="dxa"/>
                  <w:gridSpan w:val="2"/>
                  <w:shd w:val="clear" w:color="auto" w:fill="D0CECE" w:themeFill="background2" w:themeFillShade="E6"/>
                </w:tcPr>
                <w:p w14:paraId="6CA5C64A" w14:textId="77777777" w:rsidR="00FF5A31" w:rsidRPr="00A24080" w:rsidRDefault="00FF5A31" w:rsidP="0028208B">
                  <w:pPr>
                    <w:framePr w:hSpace="180" w:wrap="around" w:vAnchor="text" w:hAnchor="text" w:x="-612" w:y="1"/>
                    <w:ind w:right="90"/>
                    <w:suppressOverlap/>
                    <w:jc w:val="both"/>
                    <w:rPr>
                      <w:b/>
                      <w:bCs/>
                      <w:sz w:val="22"/>
                      <w:szCs w:val="22"/>
                      <w:lang w:val="ro-RO"/>
                    </w:rPr>
                  </w:pPr>
                  <w:r w:rsidRPr="00A24080">
                    <w:rPr>
                      <w:b/>
                      <w:bCs/>
                      <w:sz w:val="22"/>
                      <w:szCs w:val="22"/>
                      <w:lang w:val="ro-RO"/>
                    </w:rPr>
                    <w:t>Coloane</w:t>
                  </w:r>
                </w:p>
              </w:tc>
            </w:tr>
            <w:tr w:rsidR="00FF5A31" w:rsidRPr="00EE7DB0" w14:paraId="5C0F9F1F" w14:textId="77777777" w:rsidTr="003146FA">
              <w:tc>
                <w:tcPr>
                  <w:tcW w:w="1056" w:type="dxa"/>
                </w:tcPr>
                <w:p w14:paraId="6E2FB5BD"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tcPr>
                <w:p w14:paraId="375C07CD"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TOATE POZIȚIILE (LUNGI ȘI SCURTE)</w:t>
                  </w:r>
                </w:p>
                <w:p w14:paraId="60A40BED"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106A75BE" w14:textId="66A4F344"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brute lungi/scurte considerate a fi poziții pe aceeași marfă în conformitate cu </w:t>
                  </w:r>
                  <w:r w:rsidR="00960865" w:rsidRPr="00A24080">
                    <w:rPr>
                      <w:sz w:val="22"/>
                      <w:szCs w:val="22"/>
                      <w:lang w:val="it-IT"/>
                    </w:rPr>
                    <w:t>pct.518 din Regulamentul nr.XX/2026</w:t>
                  </w:r>
                  <w:r w:rsidRPr="00A24080">
                    <w:rPr>
                      <w:sz w:val="22"/>
                      <w:szCs w:val="22"/>
                      <w:lang w:val="it-IT"/>
                    </w:rPr>
                    <w:t xml:space="preserve"> [a se vedea, de asemenea, </w:t>
                  </w:r>
                  <w:r w:rsidR="00960865" w:rsidRPr="00A24080">
                    <w:rPr>
                      <w:sz w:val="22"/>
                      <w:szCs w:val="22"/>
                      <w:lang w:val="it-IT"/>
                    </w:rPr>
                    <w:t>pct.524 din Regulamentul nr.XX/2026</w:t>
                  </w:r>
                  <w:r w:rsidRPr="00A24080">
                    <w:rPr>
                      <w:sz w:val="22"/>
                      <w:szCs w:val="22"/>
                      <w:lang w:val="it-IT"/>
                    </w:rPr>
                    <w:t>].</w:t>
                  </w:r>
                </w:p>
                <w:p w14:paraId="5F33AA0D"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it-IT"/>
                    </w:rPr>
                    <w:t xml:space="preserve"> </w:t>
                  </w:r>
                </w:p>
              </w:tc>
            </w:tr>
          </w:tbl>
          <w:p w14:paraId="46AC4CFB" w14:textId="77777777" w:rsidR="00D602CA" w:rsidRPr="00A24080" w:rsidRDefault="00D602CA" w:rsidP="0028208B">
            <w:pPr>
              <w:ind w:right="90"/>
              <w:jc w:val="both"/>
              <w:rPr>
                <w:sz w:val="22"/>
                <w:szCs w:val="22"/>
                <w:lang w:val="ro-RO"/>
              </w:rPr>
            </w:pPr>
          </w:p>
        </w:tc>
        <w:tc>
          <w:tcPr>
            <w:tcW w:w="1418" w:type="dxa"/>
          </w:tcPr>
          <w:p w14:paraId="5B120ED3" w14:textId="2DCFB256" w:rsidR="00D602CA"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ECFA618" w14:textId="77777777" w:rsidR="00D602CA" w:rsidRPr="00A24080" w:rsidRDefault="00D602CA" w:rsidP="0028208B">
            <w:pPr>
              <w:jc w:val="both"/>
              <w:rPr>
                <w:bCs/>
                <w:sz w:val="22"/>
                <w:szCs w:val="22"/>
                <w:lang w:val="ro-RO"/>
              </w:rPr>
            </w:pPr>
          </w:p>
        </w:tc>
      </w:tr>
      <w:tr w:rsidR="00FF5A31" w:rsidRPr="00A24080" w14:paraId="751E6850"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A24080" w14:paraId="18A89FF8" w14:textId="77777777" w:rsidTr="003146FA">
              <w:tc>
                <w:tcPr>
                  <w:tcW w:w="1056" w:type="dxa"/>
                </w:tcPr>
                <w:p w14:paraId="5EE4662D" w14:textId="03E84C47" w:rsidR="00FF5A31" w:rsidRPr="00A24080" w:rsidRDefault="00FF5A31" w:rsidP="0028208B">
                  <w:pPr>
                    <w:framePr w:hSpace="180" w:wrap="around" w:vAnchor="text" w:hAnchor="text" w:x="-612" w:y="1"/>
                    <w:ind w:right="90"/>
                    <w:suppressOverlap/>
                    <w:jc w:val="both"/>
                    <w:rPr>
                      <w:sz w:val="22"/>
                      <w:szCs w:val="22"/>
                      <w:lang w:val="ro-RO"/>
                    </w:rPr>
                  </w:pPr>
                  <w:proofErr w:type="gramStart"/>
                  <w:r w:rsidRPr="00A24080">
                    <w:rPr>
                      <w:sz w:val="22"/>
                      <w:szCs w:val="22"/>
                    </w:rPr>
                    <w:t>0030-0040</w:t>
                  </w:r>
                  <w:proofErr w:type="gramEnd"/>
                  <w:r w:rsidRPr="00A24080">
                    <w:rPr>
                      <w:sz w:val="22"/>
                      <w:szCs w:val="22"/>
                    </w:rPr>
                    <w:t xml:space="preserve"> </w:t>
                  </w:r>
                </w:p>
              </w:tc>
              <w:tc>
                <w:tcPr>
                  <w:tcW w:w="3861" w:type="dxa"/>
                </w:tcPr>
                <w:p w14:paraId="01C2E3FD"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7B30C2A8" w14:textId="1EDE1D5C"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 xml:space="preserve">Astfel cum sunt definite la articolul 357 alineatul (3) din Regulamentul (UE) nr. 575/2013. </w:t>
                  </w:r>
                </w:p>
              </w:tc>
            </w:tr>
          </w:tbl>
          <w:p w14:paraId="50847E69"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195FD447" w14:textId="77777777" w:rsidTr="003146FA">
              <w:tc>
                <w:tcPr>
                  <w:tcW w:w="1056" w:type="dxa"/>
                </w:tcPr>
                <w:p w14:paraId="1163DD9E" w14:textId="77777777" w:rsidR="00FF5A31" w:rsidRPr="00A24080" w:rsidRDefault="00FF5A31" w:rsidP="0028208B">
                  <w:pPr>
                    <w:framePr w:hSpace="180" w:wrap="around" w:vAnchor="text" w:hAnchor="text" w:x="-612" w:y="1"/>
                    <w:ind w:right="90"/>
                    <w:suppressOverlap/>
                    <w:jc w:val="both"/>
                    <w:rPr>
                      <w:sz w:val="22"/>
                      <w:szCs w:val="22"/>
                      <w:lang w:val="ro-RO"/>
                    </w:rPr>
                  </w:pPr>
                  <w:proofErr w:type="gramStart"/>
                  <w:r w:rsidRPr="00A24080">
                    <w:rPr>
                      <w:sz w:val="22"/>
                      <w:szCs w:val="22"/>
                    </w:rPr>
                    <w:t>0030-0040</w:t>
                  </w:r>
                  <w:proofErr w:type="gramEnd"/>
                  <w:r w:rsidRPr="00A24080">
                    <w:rPr>
                      <w:sz w:val="22"/>
                      <w:szCs w:val="22"/>
                    </w:rPr>
                    <w:t xml:space="preserve"> </w:t>
                  </w:r>
                </w:p>
              </w:tc>
              <w:tc>
                <w:tcPr>
                  <w:tcW w:w="3861" w:type="dxa"/>
                </w:tcPr>
                <w:p w14:paraId="3F39AC92"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POZIȚII NETE (LUNGI ȘI SCURTE)</w:t>
                  </w:r>
                </w:p>
                <w:p w14:paraId="2C8C31D0" w14:textId="0D080F1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it-IT"/>
                    </w:rPr>
                    <w:t xml:space="preserve">Astfel cum sunt definite la </w:t>
                  </w:r>
                  <w:r w:rsidR="00960865" w:rsidRPr="00A24080">
                    <w:rPr>
                      <w:sz w:val="22"/>
                      <w:szCs w:val="22"/>
                      <w:lang w:val="it-IT"/>
                    </w:rPr>
                    <w:t>pct.517 din Regulamentul nr.XX/2026</w:t>
                  </w:r>
                  <w:r w:rsidRPr="00A24080">
                    <w:rPr>
                      <w:sz w:val="22"/>
                      <w:szCs w:val="22"/>
                      <w:lang w:val="it-IT"/>
                    </w:rPr>
                    <w:t xml:space="preserve">. </w:t>
                  </w:r>
                </w:p>
              </w:tc>
            </w:tr>
          </w:tbl>
          <w:p w14:paraId="05F2565E" w14:textId="77777777" w:rsidR="00FF5A31" w:rsidRPr="00A24080" w:rsidRDefault="00FF5A31" w:rsidP="0028208B">
            <w:pPr>
              <w:ind w:right="90"/>
              <w:rPr>
                <w:sz w:val="22"/>
                <w:szCs w:val="22"/>
                <w:lang w:val="ro-RO"/>
              </w:rPr>
            </w:pPr>
          </w:p>
        </w:tc>
        <w:tc>
          <w:tcPr>
            <w:tcW w:w="1418" w:type="dxa"/>
          </w:tcPr>
          <w:p w14:paraId="3CE80DEB" w14:textId="1835EE5B"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D6ACBEF" w14:textId="77777777" w:rsidR="00FF5A31" w:rsidRPr="00A24080" w:rsidRDefault="00FF5A31" w:rsidP="0028208B">
            <w:pPr>
              <w:jc w:val="both"/>
              <w:rPr>
                <w:bCs/>
                <w:sz w:val="22"/>
                <w:szCs w:val="22"/>
                <w:lang w:val="ro-RO"/>
              </w:rPr>
            </w:pPr>
          </w:p>
        </w:tc>
      </w:tr>
      <w:tr w:rsidR="00FF5A31" w:rsidRPr="00A24080" w14:paraId="4CF1277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5735CFE2" w14:textId="77777777" w:rsidTr="003146FA">
              <w:tc>
                <w:tcPr>
                  <w:tcW w:w="1056" w:type="dxa"/>
                </w:tcPr>
                <w:p w14:paraId="180DA72A" w14:textId="1895F03A"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0050</w:t>
                  </w:r>
                </w:p>
              </w:tc>
              <w:tc>
                <w:tcPr>
                  <w:tcW w:w="3861" w:type="dxa"/>
                </w:tcPr>
                <w:p w14:paraId="4B2D9392"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2E833237"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eastAsia="de-DE"/>
                    </w:rPr>
                  </w:pPr>
                </w:p>
                <w:p w14:paraId="7A2A2A37"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Pozițiile nete care, în conformitate cu diferitele abordări avute în vedere în partea a treia titlul IV capitolul 4 din Regulamentul (UE) nr. 575/2013, sunt supuse unei cerințe de capital.</w:t>
                  </w:r>
                </w:p>
                <w:p w14:paraId="5ED2C754"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6BCEB82A"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69AC082A" w14:textId="77777777" w:rsidTr="003146FA">
              <w:tc>
                <w:tcPr>
                  <w:tcW w:w="1056" w:type="dxa"/>
                </w:tcPr>
                <w:p w14:paraId="0C5F67DC"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0050</w:t>
                  </w:r>
                </w:p>
              </w:tc>
              <w:tc>
                <w:tcPr>
                  <w:tcW w:w="3861" w:type="dxa"/>
                </w:tcPr>
                <w:p w14:paraId="43202203"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CARE FAC OBIECTUL UNEI CERINȚE DE CAPITAL</w:t>
                  </w:r>
                </w:p>
                <w:p w14:paraId="42C5A4AE"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eastAsia="de-DE"/>
                    </w:rPr>
                  </w:pPr>
                </w:p>
                <w:p w14:paraId="334B8E03" w14:textId="09379982"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Pozițiile nete care, în conformitate cu diferitele abordări avute în vedere în </w:t>
                  </w:r>
                  <w:r w:rsidR="00F30767" w:rsidRPr="00A24080">
                    <w:rPr>
                      <w:sz w:val="22"/>
                      <w:szCs w:val="22"/>
                      <w:lang w:val="ro-RO"/>
                    </w:rPr>
                    <w:t>titlul II capitolul VI din Regulamentul nr.XX/2026</w:t>
                  </w:r>
                  <w:r w:rsidRPr="00A24080">
                    <w:rPr>
                      <w:sz w:val="22"/>
                      <w:szCs w:val="22"/>
                      <w:lang w:val="ro-RO"/>
                    </w:rPr>
                    <w:t>, sunt supuse unei cerințe de capital.</w:t>
                  </w:r>
                </w:p>
                <w:p w14:paraId="7493EB05"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747C17EB" w14:textId="77777777" w:rsidR="00FF5A31" w:rsidRPr="00A24080" w:rsidRDefault="00FF5A31" w:rsidP="0028208B">
            <w:pPr>
              <w:ind w:right="90"/>
              <w:rPr>
                <w:sz w:val="22"/>
                <w:szCs w:val="22"/>
                <w:lang w:val="ro-RO"/>
              </w:rPr>
            </w:pPr>
          </w:p>
        </w:tc>
        <w:tc>
          <w:tcPr>
            <w:tcW w:w="1418" w:type="dxa"/>
          </w:tcPr>
          <w:p w14:paraId="57AE8B87" w14:textId="0E3C0A26"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E2BAF4E" w14:textId="77777777" w:rsidR="00FF5A31" w:rsidRPr="00A24080" w:rsidRDefault="00FF5A31" w:rsidP="0028208B">
            <w:pPr>
              <w:jc w:val="both"/>
              <w:rPr>
                <w:bCs/>
                <w:sz w:val="22"/>
                <w:szCs w:val="22"/>
                <w:lang w:val="ro-RO"/>
              </w:rPr>
            </w:pPr>
          </w:p>
        </w:tc>
      </w:tr>
      <w:tr w:rsidR="00FF5A31" w:rsidRPr="00A24080" w14:paraId="3BC1682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3C47D3F0" w14:textId="77777777" w:rsidTr="003146FA">
              <w:tc>
                <w:tcPr>
                  <w:tcW w:w="1056" w:type="dxa"/>
                </w:tcPr>
                <w:p w14:paraId="4675004C" w14:textId="23268145"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lastRenderedPageBreak/>
                    <w:t>0060</w:t>
                  </w:r>
                </w:p>
              </w:tc>
              <w:tc>
                <w:tcPr>
                  <w:tcW w:w="3861" w:type="dxa"/>
                </w:tcPr>
                <w:p w14:paraId="1739ED2A"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244C2778"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pt-BR" w:eastAsia="nl-BE"/>
                    </w:rPr>
                  </w:pPr>
                </w:p>
                <w:p w14:paraId="11992C5E" w14:textId="1892FDD0"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pt-BR"/>
                    </w:rPr>
                    <w:t>Cerința de fonduri proprii calculată în conformitate cu partea a treia titlul IV capitolul 4 din Regulamentul (UE) nr. 575/2013 pentru orice poziție relevantă, înainte de aplicarea factorului de multiplicare în conformitate cu articolul 325 alineatul (2) din regulamentul respectiv.</w:t>
                  </w:r>
                </w:p>
              </w:tc>
            </w:tr>
          </w:tbl>
          <w:p w14:paraId="2D8AEDF3"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3E4E50E8" w14:textId="77777777" w:rsidTr="003146FA">
              <w:tc>
                <w:tcPr>
                  <w:tcW w:w="1056" w:type="dxa"/>
                </w:tcPr>
                <w:p w14:paraId="07C21C16"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tcPr>
                <w:p w14:paraId="3CBC2FE4"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pt-BR"/>
                    </w:rPr>
                  </w:pPr>
                  <w:r w:rsidRPr="00A24080">
                    <w:rPr>
                      <w:b/>
                      <w:sz w:val="22"/>
                      <w:szCs w:val="22"/>
                      <w:u w:val="single"/>
                      <w:lang w:val="pt-BR"/>
                    </w:rPr>
                    <w:t>CERINȚE DE FONDURI PROPRII ÎNAINTE DE APLICAREA FACTORILOR DE MULTIPLICARE</w:t>
                  </w:r>
                </w:p>
                <w:p w14:paraId="1A8604A3"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pt-BR" w:eastAsia="nl-BE"/>
                    </w:rPr>
                  </w:pPr>
                </w:p>
                <w:p w14:paraId="226CADA5" w14:textId="2EB58621"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pt-BR"/>
                    </w:rPr>
                    <w:t xml:space="preserve">Cerința de fonduri proprii calculată în conformitate cu </w:t>
                  </w:r>
                  <w:r w:rsidR="00F30767" w:rsidRPr="00A24080">
                    <w:rPr>
                      <w:sz w:val="22"/>
                      <w:szCs w:val="22"/>
                      <w:lang w:val="ro-RO"/>
                    </w:rPr>
                    <w:t>titlul II capitolul VI din Regulamentul nr.XX/2026</w:t>
                  </w:r>
                  <w:r w:rsidRPr="00A24080">
                    <w:rPr>
                      <w:sz w:val="22"/>
                      <w:szCs w:val="22"/>
                      <w:lang w:val="pt-BR"/>
                    </w:rPr>
                    <w:t xml:space="preserve"> pentru orice poziție relevantă, înainte de aplicarea factorului de multiplicare în conformitate cu </w:t>
                  </w:r>
                  <w:r w:rsidR="00AF080D" w:rsidRPr="00A24080">
                    <w:rPr>
                      <w:sz w:val="22"/>
                      <w:szCs w:val="22"/>
                      <w:lang w:val="pt-BR"/>
                    </w:rPr>
                    <w:t>pct.71</w:t>
                  </w:r>
                  <w:r w:rsidRPr="00A24080">
                    <w:rPr>
                      <w:sz w:val="22"/>
                      <w:szCs w:val="22"/>
                      <w:lang w:val="pt-BR"/>
                    </w:rPr>
                    <w:t xml:space="preserve"> din regulamentul respectiv.</w:t>
                  </w:r>
                </w:p>
              </w:tc>
            </w:tr>
          </w:tbl>
          <w:p w14:paraId="45D7497C" w14:textId="77777777" w:rsidR="00FF5A31" w:rsidRPr="00A24080" w:rsidRDefault="00FF5A31" w:rsidP="0028208B">
            <w:pPr>
              <w:ind w:right="90"/>
              <w:rPr>
                <w:sz w:val="22"/>
                <w:szCs w:val="22"/>
                <w:lang w:val="ro-RO"/>
              </w:rPr>
            </w:pPr>
          </w:p>
        </w:tc>
        <w:tc>
          <w:tcPr>
            <w:tcW w:w="1418" w:type="dxa"/>
          </w:tcPr>
          <w:p w14:paraId="6F2AFB73" w14:textId="28731C3F"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EFD7013" w14:textId="77777777" w:rsidR="00FF5A31" w:rsidRPr="00A24080" w:rsidRDefault="00FF5A31" w:rsidP="0028208B">
            <w:pPr>
              <w:jc w:val="both"/>
              <w:rPr>
                <w:bCs/>
                <w:sz w:val="22"/>
                <w:szCs w:val="22"/>
                <w:lang w:val="ro-RO"/>
              </w:rPr>
            </w:pPr>
          </w:p>
        </w:tc>
      </w:tr>
      <w:tr w:rsidR="00D602CA" w:rsidRPr="00EE7DB0" w14:paraId="71205446"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6EC8EE73" w14:textId="77777777" w:rsidTr="003146FA">
              <w:tc>
                <w:tcPr>
                  <w:tcW w:w="1056" w:type="dxa"/>
                </w:tcPr>
                <w:p w14:paraId="2A9A6419" w14:textId="6561AADD"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6EE4C882" w14:textId="77777777" w:rsidR="00FF5A31" w:rsidRPr="00A24080" w:rsidRDefault="00FF5A31"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59ED1677" w14:textId="77777777" w:rsidR="00FF5A31" w:rsidRPr="00A24080" w:rsidRDefault="00FF5A31"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eastAsia="nl-BE"/>
                    </w:rPr>
                  </w:pPr>
                </w:p>
                <w:p w14:paraId="7783BB27" w14:textId="77777777" w:rsidR="00FF5A31" w:rsidRPr="00A24080" w:rsidRDefault="00FF5A31" w:rsidP="0028208B">
                  <w:pPr>
                    <w:framePr w:hSpace="180" w:wrap="around" w:vAnchor="text" w:hAnchor="text" w:x="-612" w:y="1"/>
                    <w:tabs>
                      <w:tab w:val="left" w:pos="1665"/>
                    </w:tabs>
                    <w:suppressAutoHyphens/>
                    <w:autoSpaceDE w:val="0"/>
                    <w:autoSpaceDN w:val="0"/>
                    <w:adjustRightInd w:val="0"/>
                    <w:suppressOverlap/>
                    <w:jc w:val="both"/>
                    <w:rPr>
                      <w:sz w:val="22"/>
                      <w:szCs w:val="22"/>
                      <w:lang w:val="it-IT"/>
                    </w:rPr>
                  </w:pPr>
                  <w:r w:rsidRPr="00A24080">
                    <w:rPr>
                      <w:sz w:val="22"/>
                      <w:szCs w:val="22"/>
                      <w:lang w:val="it-IT"/>
                    </w:rPr>
                    <w:t xml:space="preserve">Articolul 92 alineatul (4) litera (c) din Regulamentul (UE) nr. 575/2013. </w:t>
                  </w:r>
                </w:p>
                <w:p w14:paraId="7FFED89D" w14:textId="13AFC4E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it-IT"/>
                    </w:rPr>
                    <w:t>Rezultatul multiplicării cerințelor de fonduri proprii cu 12,5 în conformitate cu articolul 92 alineatul (6) litera (b) din Regulamentul (UE) nr. 575/2013 și cu factorul de multiplicare în conformitate cu articolul 325 alineatul (2) litera (c) din regulamentul respectiv.</w:t>
                  </w:r>
                </w:p>
              </w:tc>
            </w:tr>
          </w:tbl>
          <w:p w14:paraId="6D097D56" w14:textId="77777777" w:rsidR="00D602CA" w:rsidRPr="00A24080" w:rsidRDefault="00D602CA"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7B84C67E" w14:textId="77777777" w:rsidTr="003146FA">
              <w:tc>
                <w:tcPr>
                  <w:tcW w:w="1056" w:type="dxa"/>
                </w:tcPr>
                <w:p w14:paraId="61055009"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23DC4895" w14:textId="77777777" w:rsidR="00FF5A31" w:rsidRPr="00A24080" w:rsidRDefault="00FF5A31"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rPr>
                  </w:pPr>
                  <w:r w:rsidRPr="00A24080">
                    <w:rPr>
                      <w:b/>
                      <w:sz w:val="22"/>
                      <w:szCs w:val="22"/>
                      <w:u w:val="single"/>
                      <w:lang w:val="it-IT"/>
                    </w:rPr>
                    <w:t>CUANTUMUL TOTAL AL EXPUNERII LA RISC</w:t>
                  </w:r>
                </w:p>
                <w:p w14:paraId="54D93167" w14:textId="77777777" w:rsidR="00FF5A31" w:rsidRPr="00A24080" w:rsidRDefault="00FF5A31" w:rsidP="0028208B">
                  <w:pPr>
                    <w:framePr w:hSpace="180" w:wrap="around" w:vAnchor="text" w:hAnchor="text" w:x="-612" w:y="1"/>
                    <w:tabs>
                      <w:tab w:val="left" w:pos="1665"/>
                    </w:tabs>
                    <w:suppressAutoHyphens/>
                    <w:autoSpaceDE w:val="0"/>
                    <w:autoSpaceDN w:val="0"/>
                    <w:adjustRightInd w:val="0"/>
                    <w:suppressOverlap/>
                    <w:jc w:val="both"/>
                    <w:rPr>
                      <w:b/>
                      <w:bCs/>
                      <w:sz w:val="22"/>
                      <w:szCs w:val="22"/>
                      <w:u w:val="single"/>
                      <w:lang w:val="it-IT" w:eastAsia="nl-BE"/>
                    </w:rPr>
                  </w:pPr>
                </w:p>
                <w:p w14:paraId="2B491BE1" w14:textId="3DFD59EA" w:rsidR="00FF5A31" w:rsidRPr="00A24080" w:rsidRDefault="00EC669A" w:rsidP="0028208B">
                  <w:pPr>
                    <w:framePr w:hSpace="180" w:wrap="around" w:vAnchor="text" w:hAnchor="text" w:x="-612" w:y="1"/>
                    <w:tabs>
                      <w:tab w:val="left" w:pos="1665"/>
                    </w:tabs>
                    <w:suppressAutoHyphens/>
                    <w:autoSpaceDE w:val="0"/>
                    <w:autoSpaceDN w:val="0"/>
                    <w:adjustRightInd w:val="0"/>
                    <w:suppressOverlap/>
                    <w:jc w:val="both"/>
                    <w:rPr>
                      <w:sz w:val="22"/>
                      <w:szCs w:val="22"/>
                      <w:lang w:val="en-US"/>
                    </w:rPr>
                  </w:pPr>
                  <w:r w:rsidRPr="00A24080">
                    <w:rPr>
                      <w:sz w:val="22"/>
                      <w:szCs w:val="22"/>
                      <w:lang w:val="en-US"/>
                    </w:rPr>
                    <w:t>Pct.132 subpct.3) din Regulamentul nr.109/2018</w:t>
                  </w:r>
                  <w:r w:rsidR="00FF5A31" w:rsidRPr="00A24080">
                    <w:rPr>
                      <w:sz w:val="22"/>
                      <w:szCs w:val="22"/>
                      <w:lang w:val="en-US"/>
                    </w:rPr>
                    <w:t xml:space="preserve">. </w:t>
                  </w:r>
                </w:p>
                <w:p w14:paraId="2EBF49F3" w14:textId="11A39CF6"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en-US"/>
                    </w:rPr>
                    <w:t xml:space="preserve">Rezultatul multiplicării cerințelor de fonduri proprii cu </w:t>
                  </w:r>
                  <w:r w:rsidR="004205A6" w:rsidRPr="00A24080">
                    <w:rPr>
                      <w:sz w:val="22"/>
                      <w:szCs w:val="22"/>
                      <w:lang w:val="en-US"/>
                    </w:rPr>
                    <w:t>10,0</w:t>
                  </w:r>
                  <w:r w:rsidRPr="00A24080">
                    <w:rPr>
                      <w:sz w:val="22"/>
                      <w:szCs w:val="22"/>
                      <w:lang w:val="en-US"/>
                    </w:rPr>
                    <w:t xml:space="preserve"> în conformitate cu </w:t>
                  </w:r>
                  <w:r w:rsidR="00FF6D39" w:rsidRPr="00A24080">
                    <w:rPr>
                      <w:sz w:val="22"/>
                      <w:szCs w:val="22"/>
                      <w:lang w:val="en-US"/>
                    </w:rPr>
                    <w:t xml:space="preserve">pct.133 subpct.2) </w:t>
                  </w:r>
                  <w:r w:rsidRPr="00A24080">
                    <w:rPr>
                      <w:sz w:val="22"/>
                      <w:szCs w:val="22"/>
                      <w:lang w:val="en-US"/>
                    </w:rPr>
                    <w:t xml:space="preserve">din </w:t>
                  </w:r>
                  <w:proofErr w:type="gramStart"/>
                  <w:r w:rsidRPr="00A24080">
                    <w:rPr>
                      <w:sz w:val="22"/>
                      <w:szCs w:val="22"/>
                      <w:lang w:val="en-US"/>
                    </w:rPr>
                    <w:t>Regulamentul  nr</w:t>
                  </w:r>
                  <w:proofErr w:type="gramEnd"/>
                  <w:r w:rsidRPr="00A24080">
                    <w:rPr>
                      <w:sz w:val="22"/>
                      <w:szCs w:val="22"/>
                      <w:lang w:val="en-US"/>
                    </w:rPr>
                    <w:t xml:space="preserve">. </w:t>
                  </w:r>
                  <w:r w:rsidR="00EC669A" w:rsidRPr="00A24080">
                    <w:rPr>
                      <w:sz w:val="22"/>
                      <w:szCs w:val="22"/>
                      <w:lang w:val="en-US"/>
                    </w:rPr>
                    <w:t>109/2018</w:t>
                  </w:r>
                  <w:r w:rsidRPr="00A24080">
                    <w:rPr>
                      <w:sz w:val="22"/>
                      <w:szCs w:val="22"/>
                      <w:lang w:val="en-US"/>
                    </w:rPr>
                    <w:t xml:space="preserve"> și cu factorul de multiplicare în conformitate cu </w:t>
                  </w:r>
                  <w:r w:rsidR="00AF080D" w:rsidRPr="00A24080">
                    <w:rPr>
                      <w:sz w:val="22"/>
                      <w:szCs w:val="22"/>
                      <w:lang w:val="en-US"/>
                    </w:rPr>
                    <w:t>subpct.71.3</w:t>
                  </w:r>
                  <w:r w:rsidRPr="00A24080">
                    <w:rPr>
                      <w:sz w:val="22"/>
                      <w:szCs w:val="22"/>
                      <w:lang w:val="en-US"/>
                    </w:rPr>
                    <w:t xml:space="preserve"> din regulamentul respectiv.</w:t>
                  </w:r>
                </w:p>
              </w:tc>
            </w:tr>
          </w:tbl>
          <w:p w14:paraId="201A32BF" w14:textId="77777777" w:rsidR="00D602CA" w:rsidRPr="00A24080" w:rsidRDefault="00D602CA" w:rsidP="0028208B">
            <w:pPr>
              <w:ind w:right="90"/>
              <w:rPr>
                <w:sz w:val="22"/>
                <w:szCs w:val="22"/>
                <w:lang w:val="ro-RO"/>
              </w:rPr>
            </w:pPr>
          </w:p>
        </w:tc>
        <w:tc>
          <w:tcPr>
            <w:tcW w:w="1418" w:type="dxa"/>
          </w:tcPr>
          <w:p w14:paraId="28198F72" w14:textId="6A6D0492" w:rsidR="00D602CA" w:rsidRPr="00A24080" w:rsidRDefault="002F657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DDC952F" w14:textId="77777777" w:rsidR="00A754B2" w:rsidRPr="00A24080" w:rsidRDefault="00A754B2" w:rsidP="0028208B">
            <w:pPr>
              <w:jc w:val="both"/>
              <w:rPr>
                <w:sz w:val="22"/>
                <w:szCs w:val="22"/>
                <w:lang w:val="ro-MD"/>
              </w:rPr>
            </w:pPr>
            <w:r w:rsidRPr="00A24080">
              <w:rPr>
                <w:sz w:val="22"/>
                <w:szCs w:val="22"/>
                <w:lang w:val="ro-RO"/>
              </w:rPr>
              <w:t>Până la data intrării în vigoare a Tratatului de aderare a Republicii Moldova la Uniunea Europeană în scopul calculului cuantumului expunerii la risc se aplică multiplicatorul cerințelor de fonduri proprii 10,0 (conform prevederilor Regulamentului nr.109/2018).</w:t>
            </w:r>
            <w:r w:rsidRPr="00A24080">
              <w:rPr>
                <w:rFonts w:eastAsiaTheme="minorHAnsi" w:cstheme="minorBidi"/>
                <w:kern w:val="2"/>
                <w:sz w:val="22"/>
                <w:szCs w:val="22"/>
                <w:lang w:val="ro-RO" w:eastAsia="en-US"/>
              </w:rPr>
              <w:t xml:space="preserve"> </w:t>
            </w:r>
            <w:r w:rsidRPr="00A24080">
              <w:rPr>
                <w:sz w:val="22"/>
                <w:szCs w:val="22"/>
                <w:lang w:val="ro-RO"/>
              </w:rPr>
              <w:t>De la data intrării în vigoare a Tratatului de aderare a Republicii Moldova la Uniunea Europeană băncile vor multiplica cerințele de fonduri proprii cu 12,5.</w:t>
            </w:r>
          </w:p>
          <w:p w14:paraId="77A0DBE2" w14:textId="77777777" w:rsidR="00D602CA" w:rsidRPr="00A24080" w:rsidRDefault="00D602CA" w:rsidP="0028208B">
            <w:pPr>
              <w:jc w:val="both"/>
              <w:rPr>
                <w:bCs/>
                <w:sz w:val="22"/>
                <w:szCs w:val="22"/>
                <w:lang w:val="ro-MD"/>
              </w:rPr>
            </w:pPr>
          </w:p>
        </w:tc>
      </w:tr>
      <w:tr w:rsidR="00FF5A31" w:rsidRPr="00A24080" w14:paraId="622B109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A24080" w14:paraId="671D9A12" w14:textId="77777777" w:rsidTr="00FF5A31">
              <w:tc>
                <w:tcPr>
                  <w:tcW w:w="4917" w:type="dxa"/>
                  <w:gridSpan w:val="2"/>
                  <w:shd w:val="clear" w:color="auto" w:fill="D0CECE" w:themeFill="background2" w:themeFillShade="E6"/>
                </w:tcPr>
                <w:p w14:paraId="3A72F494" w14:textId="6F624A2F" w:rsidR="00FF5A31" w:rsidRPr="00A24080" w:rsidRDefault="00FF5A31" w:rsidP="0028208B">
                  <w:pPr>
                    <w:framePr w:hSpace="180" w:wrap="around" w:vAnchor="text" w:hAnchor="text" w:x="-612" w:y="1"/>
                    <w:ind w:right="90"/>
                    <w:suppressOverlap/>
                    <w:jc w:val="both"/>
                    <w:rPr>
                      <w:b/>
                      <w:bCs/>
                      <w:sz w:val="22"/>
                      <w:szCs w:val="22"/>
                    </w:rPr>
                  </w:pPr>
                  <w:r w:rsidRPr="00A24080">
                    <w:rPr>
                      <w:b/>
                      <w:bCs/>
                      <w:sz w:val="22"/>
                      <w:szCs w:val="22"/>
                    </w:rPr>
                    <w:t>Rânduri</w:t>
                  </w:r>
                </w:p>
              </w:tc>
            </w:tr>
            <w:tr w:rsidR="00FF5A31" w:rsidRPr="00A24080" w14:paraId="38D25E41" w14:textId="77777777" w:rsidTr="00FF5A31">
              <w:tc>
                <w:tcPr>
                  <w:tcW w:w="1056" w:type="dxa"/>
                </w:tcPr>
                <w:p w14:paraId="75AC893D" w14:textId="4022F5CE" w:rsidR="00FF5A31" w:rsidRPr="00A24080" w:rsidRDefault="00FF5A31" w:rsidP="0028208B">
                  <w:pPr>
                    <w:framePr w:hSpace="180" w:wrap="around" w:vAnchor="text" w:hAnchor="text" w:x="-612" w:y="1"/>
                    <w:ind w:right="90"/>
                    <w:suppressOverlap/>
                    <w:jc w:val="both"/>
                    <w:rPr>
                      <w:sz w:val="22"/>
                      <w:szCs w:val="22"/>
                    </w:rPr>
                  </w:pPr>
                  <w:r w:rsidRPr="00A24080">
                    <w:rPr>
                      <w:sz w:val="22"/>
                      <w:szCs w:val="22"/>
                    </w:rPr>
                    <w:t>0010</w:t>
                  </w:r>
                </w:p>
              </w:tc>
              <w:tc>
                <w:tcPr>
                  <w:tcW w:w="3861" w:type="dxa"/>
                </w:tcPr>
                <w:p w14:paraId="183CBB53" w14:textId="77777777" w:rsidR="00FF5A31" w:rsidRPr="00A24080" w:rsidRDefault="00FF5A31"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TOTAL POZIȚII PE MĂRFURI</w:t>
                  </w:r>
                </w:p>
                <w:p w14:paraId="7719EE28" w14:textId="15B7284E" w:rsidR="00FF5A31" w:rsidRPr="00A24080" w:rsidRDefault="00FF5A31" w:rsidP="0028208B">
                  <w:pPr>
                    <w:framePr w:hSpace="180" w:wrap="around" w:vAnchor="text" w:hAnchor="text" w:x="-612" w:y="1"/>
                    <w:ind w:right="90"/>
                    <w:suppressOverlap/>
                    <w:jc w:val="both"/>
                    <w:rPr>
                      <w:sz w:val="22"/>
                      <w:szCs w:val="22"/>
                    </w:rPr>
                  </w:pPr>
                  <w:r w:rsidRPr="00A24080">
                    <w:rPr>
                      <w:sz w:val="22"/>
                      <w:szCs w:val="22"/>
                      <w:lang w:val="ro-MD"/>
                    </w:rPr>
                    <w:t>Pozițiile pe mărfuri și cerințele de fonduri proprii aferente acestora pentru riscul de piață calculate în conformitate cu articolul 92 alineatul (4) litera (c) din Regulamentul (UE) nr. 575/2013 și cu partea a treia titlul IV capitolul 4 din regulamentul respectiv</w:t>
                  </w:r>
                  <w:r w:rsidRPr="00A24080">
                    <w:rPr>
                      <w:sz w:val="22"/>
                      <w:szCs w:val="22"/>
                    </w:rPr>
                    <w:t xml:space="preserve"> </w:t>
                  </w:r>
                </w:p>
              </w:tc>
            </w:tr>
          </w:tbl>
          <w:p w14:paraId="28B15842" w14:textId="77777777" w:rsidR="00FF5A31" w:rsidRPr="00A24080" w:rsidRDefault="00FF5A31" w:rsidP="0028208B">
            <w:pPr>
              <w:ind w:right="90"/>
              <w:jc w:val="both"/>
              <w:rPr>
                <w:sz w:val="22"/>
                <w:szCs w:val="22"/>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A24080" w14:paraId="015B1313" w14:textId="77777777" w:rsidTr="003146FA">
              <w:tc>
                <w:tcPr>
                  <w:tcW w:w="4917" w:type="dxa"/>
                  <w:gridSpan w:val="2"/>
                  <w:shd w:val="clear" w:color="auto" w:fill="D0CECE" w:themeFill="background2" w:themeFillShade="E6"/>
                </w:tcPr>
                <w:p w14:paraId="3DDA78DA" w14:textId="77777777" w:rsidR="00FF5A31" w:rsidRPr="00A24080" w:rsidRDefault="00FF5A31" w:rsidP="0028208B">
                  <w:pPr>
                    <w:framePr w:hSpace="180" w:wrap="around" w:vAnchor="text" w:hAnchor="text" w:x="-612" w:y="1"/>
                    <w:ind w:right="90"/>
                    <w:suppressOverlap/>
                    <w:jc w:val="both"/>
                    <w:rPr>
                      <w:b/>
                      <w:bCs/>
                      <w:sz w:val="22"/>
                      <w:szCs w:val="22"/>
                    </w:rPr>
                  </w:pPr>
                  <w:r w:rsidRPr="00A24080">
                    <w:rPr>
                      <w:b/>
                      <w:bCs/>
                      <w:sz w:val="22"/>
                      <w:szCs w:val="22"/>
                    </w:rPr>
                    <w:t>Rânduri</w:t>
                  </w:r>
                </w:p>
              </w:tc>
            </w:tr>
            <w:tr w:rsidR="00FF5A31" w:rsidRPr="00A24080" w14:paraId="722EFA27" w14:textId="77777777" w:rsidTr="003146FA">
              <w:tc>
                <w:tcPr>
                  <w:tcW w:w="1056" w:type="dxa"/>
                </w:tcPr>
                <w:p w14:paraId="1DF76525" w14:textId="77777777" w:rsidR="00FF5A31" w:rsidRPr="00A24080" w:rsidRDefault="00FF5A31" w:rsidP="0028208B">
                  <w:pPr>
                    <w:framePr w:hSpace="180" w:wrap="around" w:vAnchor="text" w:hAnchor="text" w:x="-612" w:y="1"/>
                    <w:ind w:right="90"/>
                    <w:suppressOverlap/>
                    <w:jc w:val="both"/>
                    <w:rPr>
                      <w:sz w:val="22"/>
                      <w:szCs w:val="22"/>
                    </w:rPr>
                  </w:pPr>
                  <w:r w:rsidRPr="00A24080">
                    <w:rPr>
                      <w:sz w:val="22"/>
                      <w:szCs w:val="22"/>
                    </w:rPr>
                    <w:t>0010</w:t>
                  </w:r>
                </w:p>
              </w:tc>
              <w:tc>
                <w:tcPr>
                  <w:tcW w:w="3861" w:type="dxa"/>
                </w:tcPr>
                <w:p w14:paraId="36EFFA7C" w14:textId="77777777" w:rsidR="00FF5A31" w:rsidRPr="00A24080" w:rsidRDefault="00FF5A31" w:rsidP="0028208B">
                  <w:pPr>
                    <w:framePr w:hSpace="180" w:wrap="around" w:vAnchor="text" w:hAnchor="text" w:x="-612" w:y="1"/>
                    <w:suppressAutoHyphens/>
                    <w:autoSpaceDE w:val="0"/>
                    <w:autoSpaceDN w:val="0"/>
                    <w:adjustRightInd w:val="0"/>
                    <w:suppressOverlap/>
                    <w:rPr>
                      <w:b/>
                      <w:bCs/>
                      <w:sz w:val="22"/>
                      <w:szCs w:val="22"/>
                      <w:u w:val="single"/>
                    </w:rPr>
                  </w:pPr>
                  <w:r w:rsidRPr="00A24080">
                    <w:rPr>
                      <w:b/>
                      <w:sz w:val="22"/>
                      <w:szCs w:val="22"/>
                      <w:u w:val="single"/>
                    </w:rPr>
                    <w:t>TOTAL POZIȚII PE MĂRFURI</w:t>
                  </w:r>
                </w:p>
                <w:p w14:paraId="2F693550" w14:textId="586B3EC9" w:rsidR="00FF5A31" w:rsidRPr="00A24080" w:rsidRDefault="00FF5A31" w:rsidP="0028208B">
                  <w:pPr>
                    <w:framePr w:hSpace="180" w:wrap="around" w:vAnchor="text" w:hAnchor="text" w:x="-612" w:y="1"/>
                    <w:ind w:right="90"/>
                    <w:suppressOverlap/>
                    <w:jc w:val="both"/>
                    <w:rPr>
                      <w:sz w:val="22"/>
                      <w:szCs w:val="22"/>
                    </w:rPr>
                  </w:pPr>
                  <w:r w:rsidRPr="00A24080">
                    <w:rPr>
                      <w:sz w:val="22"/>
                      <w:szCs w:val="22"/>
                      <w:lang w:val="ro-MD"/>
                    </w:rPr>
                    <w:t xml:space="preserve">Pozițiile pe mărfuri și cerințele de fonduri proprii aferente acestora pentru riscul de piață calculate în conformitate cu </w:t>
                  </w:r>
                  <w:r w:rsidR="00EC669A" w:rsidRPr="00A24080">
                    <w:rPr>
                      <w:sz w:val="22"/>
                      <w:szCs w:val="22"/>
                      <w:lang w:val="ro-MD"/>
                    </w:rPr>
                    <w:t>pct.132 subpct.3) din Regulamentul nr.109/2018</w:t>
                  </w:r>
                  <w:r w:rsidRPr="00A24080">
                    <w:rPr>
                      <w:sz w:val="22"/>
                      <w:szCs w:val="22"/>
                      <w:lang w:val="ro-MD"/>
                    </w:rPr>
                    <w:t xml:space="preserve"> și cu </w:t>
                  </w:r>
                  <w:r w:rsidR="00F30767" w:rsidRPr="00A24080">
                    <w:rPr>
                      <w:sz w:val="22"/>
                      <w:szCs w:val="22"/>
                      <w:lang w:val="ro-RO"/>
                    </w:rPr>
                    <w:t>titlul II capitolul VI din Regulamentul nr.XX/2026</w:t>
                  </w:r>
                </w:p>
              </w:tc>
            </w:tr>
          </w:tbl>
          <w:p w14:paraId="36939E24" w14:textId="77777777" w:rsidR="00FF5A31" w:rsidRPr="00A24080" w:rsidRDefault="00FF5A31" w:rsidP="0028208B">
            <w:pPr>
              <w:ind w:right="90"/>
              <w:jc w:val="both"/>
              <w:rPr>
                <w:sz w:val="22"/>
                <w:szCs w:val="22"/>
              </w:rPr>
            </w:pPr>
          </w:p>
        </w:tc>
        <w:tc>
          <w:tcPr>
            <w:tcW w:w="1418" w:type="dxa"/>
          </w:tcPr>
          <w:p w14:paraId="58268D77" w14:textId="5ECB44FA"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A0DE585" w14:textId="77777777" w:rsidR="00FF5A31" w:rsidRPr="00A24080" w:rsidRDefault="00FF5A31" w:rsidP="0028208B">
            <w:pPr>
              <w:jc w:val="both"/>
              <w:rPr>
                <w:bCs/>
                <w:sz w:val="22"/>
                <w:szCs w:val="22"/>
                <w:lang w:val="ro-RO"/>
              </w:rPr>
            </w:pPr>
          </w:p>
        </w:tc>
      </w:tr>
      <w:tr w:rsidR="00FF5A31" w:rsidRPr="00A24080" w14:paraId="7863184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4E4BFC22" w14:textId="77777777" w:rsidTr="003146FA">
              <w:tc>
                <w:tcPr>
                  <w:tcW w:w="1056" w:type="dxa"/>
                </w:tcPr>
                <w:p w14:paraId="2D70B5E1" w14:textId="50E05E74"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lastRenderedPageBreak/>
                    <w:t>0020-0060</w:t>
                  </w:r>
                </w:p>
              </w:tc>
              <w:tc>
                <w:tcPr>
                  <w:tcW w:w="3861" w:type="dxa"/>
                </w:tcPr>
                <w:p w14:paraId="4A946461"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PE CATEGORII DE MĂRFURI</w:t>
                  </w:r>
                </w:p>
                <w:p w14:paraId="39DBA7B8"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eastAsia="de-DE"/>
                    </w:rPr>
                  </w:pPr>
                </w:p>
                <w:p w14:paraId="3ABE0673"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În scopul raportării, mărfurile sunt grupate în cele patru categorii de mărfuri menționate în tabelul 2 de la articolul 361 din Regulamentul (UE) nr. 575/2013.</w:t>
                  </w:r>
                </w:p>
                <w:p w14:paraId="57FE3534" w14:textId="270A43FE"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ro-RO"/>
                    </w:rPr>
                    <w:t xml:space="preserve"> </w:t>
                  </w:r>
                </w:p>
              </w:tc>
            </w:tr>
          </w:tbl>
          <w:p w14:paraId="2FB78D30"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405D338B" w14:textId="77777777" w:rsidTr="003146FA">
              <w:tc>
                <w:tcPr>
                  <w:tcW w:w="1056" w:type="dxa"/>
                </w:tcPr>
                <w:p w14:paraId="74A829F7"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0020-0060</w:t>
                  </w:r>
                </w:p>
              </w:tc>
              <w:tc>
                <w:tcPr>
                  <w:tcW w:w="3861" w:type="dxa"/>
                </w:tcPr>
                <w:p w14:paraId="725EDAD8"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ro-RO"/>
                    </w:rPr>
                  </w:pPr>
                  <w:r w:rsidRPr="00A24080">
                    <w:rPr>
                      <w:b/>
                      <w:sz w:val="22"/>
                      <w:szCs w:val="22"/>
                      <w:u w:val="single"/>
                      <w:lang w:val="ro-RO"/>
                    </w:rPr>
                    <w:t>POZIȚII PE CATEGORII DE MĂRFURI</w:t>
                  </w:r>
                </w:p>
                <w:p w14:paraId="3BFE82E3"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eastAsia="de-DE"/>
                    </w:rPr>
                  </w:pPr>
                </w:p>
                <w:p w14:paraId="2DF00007" w14:textId="25549052"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ro-RO"/>
                    </w:rPr>
                  </w:pPr>
                  <w:r w:rsidRPr="00A24080">
                    <w:rPr>
                      <w:sz w:val="22"/>
                      <w:szCs w:val="22"/>
                      <w:lang w:val="ro-RO"/>
                    </w:rPr>
                    <w:t xml:space="preserve">În scopul raportării, mărfurile sunt grupate în cele patru categorii de mărfuri menționate în tabelul 2 de la </w:t>
                  </w:r>
                  <w:r w:rsidR="00E54F18" w:rsidRPr="00A24080">
                    <w:rPr>
                      <w:sz w:val="22"/>
                      <w:szCs w:val="22"/>
                      <w:lang w:val="ro-RO"/>
                    </w:rPr>
                    <w:t>pct.532 din Regulamentul nr.XX/2026</w:t>
                  </w:r>
                  <w:r w:rsidRPr="00A24080">
                    <w:rPr>
                      <w:sz w:val="22"/>
                      <w:szCs w:val="22"/>
                      <w:lang w:val="ro-RO"/>
                    </w:rPr>
                    <w:t>.</w:t>
                  </w:r>
                </w:p>
                <w:p w14:paraId="6B3DE3E8"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lang w:val="ro-RO"/>
                    </w:rPr>
                    <w:t xml:space="preserve"> </w:t>
                  </w:r>
                </w:p>
              </w:tc>
            </w:tr>
          </w:tbl>
          <w:p w14:paraId="2FB02C60" w14:textId="77777777" w:rsidR="00FF5A31" w:rsidRPr="00A24080" w:rsidRDefault="00FF5A31" w:rsidP="0028208B">
            <w:pPr>
              <w:ind w:right="90"/>
              <w:rPr>
                <w:sz w:val="22"/>
                <w:szCs w:val="22"/>
                <w:lang w:val="ro-RO"/>
              </w:rPr>
            </w:pPr>
          </w:p>
        </w:tc>
        <w:tc>
          <w:tcPr>
            <w:tcW w:w="1418" w:type="dxa"/>
          </w:tcPr>
          <w:p w14:paraId="14A332B9" w14:textId="447293C4"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3DDA07F" w14:textId="77777777" w:rsidR="00FF5A31" w:rsidRPr="00A24080" w:rsidRDefault="00FF5A31" w:rsidP="0028208B">
            <w:pPr>
              <w:jc w:val="both"/>
              <w:rPr>
                <w:bCs/>
                <w:sz w:val="22"/>
                <w:szCs w:val="22"/>
                <w:lang w:val="ro-RO"/>
              </w:rPr>
            </w:pPr>
          </w:p>
        </w:tc>
      </w:tr>
      <w:tr w:rsidR="00FF5A31" w:rsidRPr="00A24080" w14:paraId="17DC75E6"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20657CE2" w14:textId="77777777" w:rsidTr="003146FA">
              <w:tc>
                <w:tcPr>
                  <w:tcW w:w="1056" w:type="dxa"/>
                </w:tcPr>
                <w:p w14:paraId="541481F0" w14:textId="65A8061F"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79FFC141"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ABORDAREA PE BENZI DE SCADENȚĂ</w:t>
                  </w:r>
                </w:p>
                <w:p w14:paraId="63A5CD54"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6AC2ECF3"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pe mărfuri care fac obiectul abordării pe benzi de scadență menționate la articolul 359 din Regulamentul (UE) nr. 575/2013</w:t>
                  </w:r>
                </w:p>
                <w:p w14:paraId="31C9A902"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5E83FD9D"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3E7D49E4" w14:textId="77777777" w:rsidTr="003146FA">
              <w:tc>
                <w:tcPr>
                  <w:tcW w:w="1056" w:type="dxa"/>
                </w:tcPr>
                <w:p w14:paraId="528F2380"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5851D4B1"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ABORDAREA PE BENZI DE SCADENȚĂ</w:t>
                  </w:r>
                </w:p>
                <w:p w14:paraId="5659796B"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4193E606" w14:textId="38315176"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pe mărfuri care fac obiectul abordării pe benzi de scadență menționate la </w:t>
                  </w:r>
                  <w:r w:rsidR="00960865" w:rsidRPr="00A24080">
                    <w:rPr>
                      <w:sz w:val="22"/>
                      <w:szCs w:val="22"/>
                      <w:lang w:val="it-IT"/>
                    </w:rPr>
                    <w:t>titlul II capitolul VI secțiunea 5 din Regulamentul nr.XX/2026</w:t>
                  </w:r>
                </w:p>
                <w:p w14:paraId="61EC3A16"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08A54D2D" w14:textId="77777777" w:rsidR="00FF5A31" w:rsidRPr="00A24080" w:rsidRDefault="00FF5A31" w:rsidP="0028208B">
            <w:pPr>
              <w:ind w:right="90"/>
              <w:rPr>
                <w:sz w:val="22"/>
                <w:szCs w:val="22"/>
                <w:lang w:val="ro-RO"/>
              </w:rPr>
            </w:pPr>
          </w:p>
        </w:tc>
        <w:tc>
          <w:tcPr>
            <w:tcW w:w="1418" w:type="dxa"/>
          </w:tcPr>
          <w:p w14:paraId="488E625B" w14:textId="5C3D33F1"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96020F1" w14:textId="77777777" w:rsidR="00FF5A31" w:rsidRPr="00A24080" w:rsidRDefault="00FF5A31" w:rsidP="0028208B">
            <w:pPr>
              <w:jc w:val="both"/>
              <w:rPr>
                <w:bCs/>
                <w:sz w:val="22"/>
                <w:szCs w:val="22"/>
                <w:lang w:val="ro-RO"/>
              </w:rPr>
            </w:pPr>
          </w:p>
        </w:tc>
      </w:tr>
      <w:tr w:rsidR="00FF5A31" w:rsidRPr="00A24080" w14:paraId="31153BF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1B47D5C4" w14:textId="77777777" w:rsidTr="003146FA">
              <w:tc>
                <w:tcPr>
                  <w:tcW w:w="1056" w:type="dxa"/>
                </w:tcPr>
                <w:p w14:paraId="7074A4B1" w14:textId="754819F2"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6A183FDD"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ABORDAREA EXTINSĂ PE BENZI DE SCADENȚĂ</w:t>
                  </w:r>
                </w:p>
                <w:p w14:paraId="3F56F14E"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05740605"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Pozițiile pe mărfuri care fac obiectul abordării extinse pe benzi de scadență menționate la articolul 361 din Regulamentul (UE) nr. 575/2013</w:t>
                  </w:r>
                </w:p>
                <w:p w14:paraId="45DF1C27"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301C68E9"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0DE5BB09" w14:textId="77777777" w:rsidTr="003146FA">
              <w:tc>
                <w:tcPr>
                  <w:tcW w:w="1056" w:type="dxa"/>
                </w:tcPr>
                <w:p w14:paraId="678878E2"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799253C2"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ABORDAREA EXTINSĂ PE BENZI DE SCADENȚĂ</w:t>
                  </w:r>
                </w:p>
                <w:p w14:paraId="7DA43BA0"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eastAsia="de-DE"/>
                    </w:rPr>
                  </w:pPr>
                </w:p>
                <w:p w14:paraId="20905699" w14:textId="570EF422"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pe mărfuri care fac obiectul abordării extinse pe benzi de scadență menționate la </w:t>
                  </w:r>
                  <w:r w:rsidR="00F30767" w:rsidRPr="00A24080">
                    <w:rPr>
                      <w:sz w:val="22"/>
                      <w:szCs w:val="22"/>
                      <w:lang w:val="it-IT"/>
                    </w:rPr>
                    <w:t>pct.532 din Regulamentul nr.XX/2026</w:t>
                  </w:r>
                </w:p>
                <w:p w14:paraId="5C56ED98"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4CF16FA3" w14:textId="77777777" w:rsidR="00FF5A31" w:rsidRPr="00A24080" w:rsidRDefault="00FF5A31" w:rsidP="0028208B">
            <w:pPr>
              <w:ind w:right="90"/>
              <w:rPr>
                <w:sz w:val="22"/>
                <w:szCs w:val="22"/>
                <w:lang w:val="ro-RO"/>
              </w:rPr>
            </w:pPr>
          </w:p>
        </w:tc>
        <w:tc>
          <w:tcPr>
            <w:tcW w:w="1418" w:type="dxa"/>
          </w:tcPr>
          <w:p w14:paraId="65549482" w14:textId="619063C7"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8D22653" w14:textId="77777777" w:rsidR="00FF5A31" w:rsidRPr="00A24080" w:rsidRDefault="00FF5A31" w:rsidP="0028208B">
            <w:pPr>
              <w:jc w:val="both"/>
              <w:rPr>
                <w:bCs/>
                <w:sz w:val="22"/>
                <w:szCs w:val="22"/>
                <w:lang w:val="ro-RO"/>
              </w:rPr>
            </w:pPr>
          </w:p>
        </w:tc>
      </w:tr>
      <w:tr w:rsidR="00FF5A31" w:rsidRPr="00A24080" w14:paraId="7C1CA9C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2CE1AB56" w14:textId="77777777" w:rsidTr="003146FA">
              <w:tc>
                <w:tcPr>
                  <w:tcW w:w="1056" w:type="dxa"/>
                </w:tcPr>
                <w:p w14:paraId="2DE092A0" w14:textId="49C0A548"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tcPr>
                <w:p w14:paraId="7E91A46D"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 SIMPLIFICATĂ</w:t>
                  </w:r>
                </w:p>
                <w:p w14:paraId="345DF1AB"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130D0191"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pe mărfuri care fac obiectul abordării simplificate menționate la articolul 360 din Regulamentul (UE) nr. 575/2013 </w:t>
                  </w:r>
                </w:p>
                <w:p w14:paraId="1B65D679" w14:textId="77777777" w:rsidR="00FF5A31" w:rsidRPr="00A24080" w:rsidRDefault="00FF5A31" w:rsidP="0028208B">
                  <w:pPr>
                    <w:framePr w:hSpace="180" w:wrap="around" w:vAnchor="text" w:hAnchor="text" w:x="-612" w:y="1"/>
                    <w:ind w:right="90"/>
                    <w:suppressOverlap/>
                    <w:jc w:val="both"/>
                    <w:rPr>
                      <w:sz w:val="22"/>
                      <w:szCs w:val="22"/>
                      <w:lang w:val="it-IT"/>
                    </w:rPr>
                  </w:pPr>
                </w:p>
              </w:tc>
            </w:tr>
          </w:tbl>
          <w:p w14:paraId="2A2AA3EC" w14:textId="77777777" w:rsidR="00FF5A31" w:rsidRPr="00A24080" w:rsidRDefault="00FF5A31"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0C4725CC" w14:textId="77777777" w:rsidTr="003146FA">
              <w:tc>
                <w:tcPr>
                  <w:tcW w:w="1056" w:type="dxa"/>
                </w:tcPr>
                <w:p w14:paraId="41450171"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tcPr>
                <w:p w14:paraId="0F55163C"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b/>
                      <w:sz w:val="22"/>
                      <w:szCs w:val="22"/>
                      <w:u w:val="single"/>
                      <w:lang w:val="it-IT"/>
                    </w:rPr>
                    <w:t>ABORDARE SIMPLIFICATĂ</w:t>
                  </w:r>
                </w:p>
                <w:p w14:paraId="4E42A887"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eastAsia="nl-BE"/>
                    </w:rPr>
                  </w:pPr>
                </w:p>
                <w:p w14:paraId="6E482DBD" w14:textId="73B89524"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 xml:space="preserve">Pozițiile pe mărfuri care fac obiectul abordării simplificate menționate la </w:t>
                  </w:r>
                  <w:r w:rsidR="00F30767" w:rsidRPr="00A24080">
                    <w:rPr>
                      <w:sz w:val="22"/>
                      <w:szCs w:val="22"/>
                      <w:lang w:val="it-IT"/>
                    </w:rPr>
                    <w:t>titlul II capitolul VI secțiunea 6 din Regulamentul nr.XX/2026</w:t>
                  </w:r>
                </w:p>
                <w:p w14:paraId="620F9EAC" w14:textId="77777777" w:rsidR="00FF5A31" w:rsidRPr="00A24080" w:rsidRDefault="00FF5A31" w:rsidP="0028208B">
                  <w:pPr>
                    <w:framePr w:hSpace="180" w:wrap="around" w:vAnchor="text" w:hAnchor="text" w:x="-612" w:y="1"/>
                    <w:ind w:right="90"/>
                    <w:suppressOverlap/>
                    <w:jc w:val="both"/>
                    <w:rPr>
                      <w:sz w:val="22"/>
                      <w:szCs w:val="22"/>
                      <w:lang w:val="ro-RO"/>
                    </w:rPr>
                  </w:pPr>
                </w:p>
              </w:tc>
            </w:tr>
          </w:tbl>
          <w:p w14:paraId="40DF61C3" w14:textId="77777777" w:rsidR="00FF5A31" w:rsidRPr="00A24080" w:rsidRDefault="00FF5A31" w:rsidP="0028208B">
            <w:pPr>
              <w:ind w:right="90"/>
              <w:rPr>
                <w:sz w:val="22"/>
                <w:szCs w:val="22"/>
                <w:lang w:val="ro-RO"/>
              </w:rPr>
            </w:pPr>
          </w:p>
        </w:tc>
        <w:tc>
          <w:tcPr>
            <w:tcW w:w="1418" w:type="dxa"/>
          </w:tcPr>
          <w:p w14:paraId="54B64530" w14:textId="1951AE73" w:rsidR="00FF5A31"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F8929FC" w14:textId="77777777" w:rsidR="00FF5A31" w:rsidRPr="00A24080" w:rsidRDefault="00FF5A31" w:rsidP="0028208B">
            <w:pPr>
              <w:jc w:val="both"/>
              <w:rPr>
                <w:bCs/>
                <w:sz w:val="22"/>
                <w:szCs w:val="22"/>
                <w:lang w:val="ro-RO"/>
              </w:rPr>
            </w:pPr>
          </w:p>
        </w:tc>
      </w:tr>
      <w:tr w:rsidR="00FF5A31" w:rsidRPr="00A24080" w14:paraId="3DE37940"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4658C573" w14:textId="77777777" w:rsidTr="003146FA">
              <w:tc>
                <w:tcPr>
                  <w:tcW w:w="1056" w:type="dxa"/>
                </w:tcPr>
                <w:p w14:paraId="6876D1BD" w14:textId="065D1FA9"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t>0100-0140</w:t>
                  </w:r>
                </w:p>
              </w:tc>
              <w:tc>
                <w:tcPr>
                  <w:tcW w:w="3861" w:type="dxa"/>
                </w:tcPr>
                <w:p w14:paraId="3D944AEB"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rStyle w:val="InstructionsTabelleberschrift"/>
                      <w:rFonts w:ascii="Times New Roman" w:hAnsi="Times New Roman"/>
                      <w:sz w:val="22"/>
                      <w:szCs w:val="22"/>
                      <w:lang w:val="it-IT"/>
                    </w:rPr>
                    <w:t>CERINȚE SUPLIMENTARE PENTRU OPȚIUNI (ALTE RISCURI DECÂT RISCUL DELTA)</w:t>
                  </w:r>
                </w:p>
                <w:p w14:paraId="7D0AFFDF" w14:textId="77777777"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lastRenderedPageBreak/>
                    <w:t xml:space="preserve">Articolul 358 alineatul (4) din Regulamentul (UE) nr. 575/2013 </w:t>
                  </w:r>
                </w:p>
                <w:p w14:paraId="31593526" w14:textId="4C4FC9B6"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Cerințele suplimentare pentru opțiuni legate de alte riscuri decât riscul delta se raportează prin metoda utilizată pentru calcularea acestuia.</w:t>
                  </w:r>
                </w:p>
              </w:tc>
            </w:tr>
          </w:tbl>
          <w:p w14:paraId="35A65313" w14:textId="77777777" w:rsidR="00FF5A31" w:rsidRPr="00A24080" w:rsidRDefault="00FF5A31" w:rsidP="0028208B">
            <w:pPr>
              <w:ind w:right="90"/>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FF5A31" w:rsidRPr="00EE7DB0" w14:paraId="6F105738" w14:textId="77777777" w:rsidTr="003146FA">
              <w:tc>
                <w:tcPr>
                  <w:tcW w:w="1056" w:type="dxa"/>
                </w:tcPr>
                <w:p w14:paraId="2081B982" w14:textId="77777777" w:rsidR="00FF5A31" w:rsidRPr="00A24080" w:rsidRDefault="00FF5A31" w:rsidP="0028208B">
                  <w:pPr>
                    <w:framePr w:hSpace="180" w:wrap="around" w:vAnchor="text" w:hAnchor="text" w:x="-612" w:y="1"/>
                    <w:ind w:right="90"/>
                    <w:suppressOverlap/>
                    <w:jc w:val="both"/>
                    <w:rPr>
                      <w:sz w:val="22"/>
                      <w:szCs w:val="22"/>
                      <w:lang w:val="ro-RO"/>
                    </w:rPr>
                  </w:pPr>
                  <w:r w:rsidRPr="00A24080">
                    <w:rPr>
                      <w:sz w:val="22"/>
                      <w:szCs w:val="22"/>
                    </w:rPr>
                    <w:lastRenderedPageBreak/>
                    <w:t>0100-0140</w:t>
                  </w:r>
                </w:p>
              </w:tc>
              <w:tc>
                <w:tcPr>
                  <w:tcW w:w="3861" w:type="dxa"/>
                </w:tcPr>
                <w:p w14:paraId="2BB6851F" w14:textId="77777777" w:rsidR="00FF5A31" w:rsidRPr="00A24080" w:rsidRDefault="00FF5A31" w:rsidP="0028208B">
                  <w:pPr>
                    <w:framePr w:hSpace="180" w:wrap="around" w:vAnchor="text" w:hAnchor="text" w:x="-612" w:y="1"/>
                    <w:suppressAutoHyphens/>
                    <w:autoSpaceDE w:val="0"/>
                    <w:autoSpaceDN w:val="0"/>
                    <w:adjustRightInd w:val="0"/>
                    <w:suppressOverlap/>
                    <w:jc w:val="both"/>
                    <w:rPr>
                      <w:b/>
                      <w:bCs/>
                      <w:sz w:val="22"/>
                      <w:szCs w:val="22"/>
                      <w:u w:val="single"/>
                      <w:lang w:val="it-IT"/>
                    </w:rPr>
                  </w:pPr>
                  <w:r w:rsidRPr="00A24080">
                    <w:rPr>
                      <w:rStyle w:val="InstructionsTabelleberschrift"/>
                      <w:rFonts w:ascii="Times New Roman" w:hAnsi="Times New Roman"/>
                      <w:sz w:val="22"/>
                      <w:szCs w:val="22"/>
                      <w:lang w:val="it-IT"/>
                    </w:rPr>
                    <w:t>CERINȚE SUPLIMENTARE PENTRU OPȚIUNI (ALTE RISCURI DECÂT RISCUL DELTA)</w:t>
                  </w:r>
                </w:p>
                <w:p w14:paraId="141DC863" w14:textId="0B3E6949" w:rsidR="00FF5A31" w:rsidRPr="00A24080" w:rsidRDefault="00E60562"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lastRenderedPageBreak/>
                    <w:t>Pct.522 din Regulamentul nr.XX/2026</w:t>
                  </w:r>
                </w:p>
                <w:p w14:paraId="0AF1888E" w14:textId="60EF02EB" w:rsidR="00FF5A31" w:rsidRPr="00A24080" w:rsidRDefault="00FF5A31" w:rsidP="0028208B">
                  <w:pPr>
                    <w:framePr w:hSpace="180" w:wrap="around" w:vAnchor="text" w:hAnchor="text" w:x="-612" w:y="1"/>
                    <w:suppressAutoHyphens/>
                    <w:autoSpaceDE w:val="0"/>
                    <w:autoSpaceDN w:val="0"/>
                    <w:adjustRightInd w:val="0"/>
                    <w:suppressOverlap/>
                    <w:jc w:val="both"/>
                    <w:rPr>
                      <w:sz w:val="22"/>
                      <w:szCs w:val="22"/>
                      <w:lang w:val="it-IT"/>
                    </w:rPr>
                  </w:pPr>
                  <w:r w:rsidRPr="00A24080">
                    <w:rPr>
                      <w:sz w:val="22"/>
                      <w:szCs w:val="22"/>
                      <w:lang w:val="it-IT"/>
                    </w:rPr>
                    <w:t>Cerințele suplimentare pentru opțiuni legate de alte riscuri decât riscul delta se raportează prin metoda utilizată pentru calcularea acestuia.</w:t>
                  </w:r>
                </w:p>
              </w:tc>
            </w:tr>
          </w:tbl>
          <w:p w14:paraId="48CDD2B3" w14:textId="77777777" w:rsidR="00FF5A31" w:rsidRPr="00A24080" w:rsidRDefault="00FF5A31" w:rsidP="0028208B">
            <w:pPr>
              <w:ind w:right="90"/>
              <w:rPr>
                <w:sz w:val="22"/>
                <w:szCs w:val="22"/>
                <w:lang w:val="ro-RO"/>
              </w:rPr>
            </w:pPr>
          </w:p>
        </w:tc>
        <w:tc>
          <w:tcPr>
            <w:tcW w:w="1418" w:type="dxa"/>
          </w:tcPr>
          <w:p w14:paraId="1B18EBDB" w14:textId="48869267" w:rsidR="00FF5A31"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261CE755" w14:textId="77777777" w:rsidR="00FF5A31" w:rsidRPr="00A24080" w:rsidRDefault="00FF5A31" w:rsidP="0028208B">
            <w:pPr>
              <w:jc w:val="both"/>
              <w:rPr>
                <w:bCs/>
                <w:sz w:val="22"/>
                <w:szCs w:val="22"/>
                <w:lang w:val="ro-RO"/>
              </w:rPr>
            </w:pPr>
          </w:p>
        </w:tc>
      </w:tr>
      <w:tr w:rsidR="00767996" w:rsidRPr="00EE7DB0" w14:paraId="1EFC1A62" w14:textId="77777777" w:rsidTr="0028208B">
        <w:tc>
          <w:tcPr>
            <w:tcW w:w="5143" w:type="dxa"/>
          </w:tcPr>
          <w:p w14:paraId="25985356" w14:textId="245B4277" w:rsidR="00767996" w:rsidRPr="00A24080" w:rsidRDefault="00767996" w:rsidP="0028208B">
            <w:pPr>
              <w:ind w:right="90"/>
              <w:jc w:val="both"/>
              <w:rPr>
                <w:sz w:val="22"/>
                <w:szCs w:val="22"/>
                <w:lang w:val="pt-BR"/>
              </w:rPr>
            </w:pPr>
            <w:r w:rsidRPr="00A24080">
              <w:rPr>
                <w:sz w:val="22"/>
                <w:szCs w:val="22"/>
                <w:lang w:val="pt-BR"/>
              </w:rPr>
              <w:t>5.7. C 24.00 – Modelul intern de risc de piață (MKR IM)</w:t>
            </w:r>
          </w:p>
        </w:tc>
        <w:tc>
          <w:tcPr>
            <w:tcW w:w="5103" w:type="dxa"/>
          </w:tcPr>
          <w:p w14:paraId="5FC1BDF6" w14:textId="27C0D4CD" w:rsidR="00767996" w:rsidRPr="00A24080" w:rsidRDefault="00767996" w:rsidP="0028208B">
            <w:pPr>
              <w:ind w:right="90"/>
              <w:jc w:val="both"/>
              <w:rPr>
                <w:sz w:val="22"/>
                <w:szCs w:val="22"/>
                <w:lang w:val="pt-BR"/>
              </w:rPr>
            </w:pPr>
          </w:p>
        </w:tc>
        <w:tc>
          <w:tcPr>
            <w:tcW w:w="1418" w:type="dxa"/>
          </w:tcPr>
          <w:p w14:paraId="26A16514" w14:textId="0D4ADD6E" w:rsidR="00767996" w:rsidRPr="00A24080" w:rsidRDefault="0011609E" w:rsidP="0028208B">
            <w:pPr>
              <w:suppressAutoHyphens/>
              <w:autoSpaceDE w:val="0"/>
              <w:autoSpaceDN w:val="0"/>
              <w:adjustRightInd w:val="0"/>
              <w:jc w:val="both"/>
              <w:rPr>
                <w:sz w:val="22"/>
                <w:szCs w:val="22"/>
                <w:lang w:val="it-IT"/>
              </w:rPr>
            </w:pPr>
            <w:r w:rsidRPr="00A24080">
              <w:rPr>
                <w:sz w:val="22"/>
                <w:szCs w:val="22"/>
                <w:lang w:val="it-IT"/>
              </w:rPr>
              <w:t>Prevederi UE netranspuse</w:t>
            </w:r>
          </w:p>
        </w:tc>
        <w:tc>
          <w:tcPr>
            <w:tcW w:w="3544" w:type="dxa"/>
            <w:tcBorders>
              <w:top w:val="single" w:sz="4" w:space="0" w:color="auto"/>
              <w:bottom w:val="single" w:sz="4" w:space="0" w:color="auto"/>
            </w:tcBorders>
          </w:tcPr>
          <w:p w14:paraId="575A956F" w14:textId="174A9A41" w:rsidR="0011609E" w:rsidRPr="00A24080" w:rsidRDefault="004205A6" w:rsidP="0028208B">
            <w:pPr>
              <w:jc w:val="both"/>
              <w:rPr>
                <w:bCs/>
                <w:sz w:val="22"/>
                <w:szCs w:val="22"/>
                <w:lang w:val="ro-RO"/>
              </w:rPr>
            </w:pPr>
            <w:r w:rsidRPr="00A24080">
              <w:rPr>
                <w:bCs/>
                <w:sz w:val="22"/>
                <w:szCs w:val="22"/>
                <w:lang w:val="ro-RO"/>
              </w:rPr>
              <w:t xml:space="preserve">Formularul C 24.00 Modelul intern de risc de piață (MKR IM) nu se transpune, </w:t>
            </w:r>
            <w:r w:rsidR="0011609E" w:rsidRPr="00A24080">
              <w:rPr>
                <w:bCs/>
                <w:sz w:val="22"/>
                <w:szCs w:val="22"/>
                <w:lang w:val="ro-RO"/>
              </w:rPr>
              <w:t xml:space="preserve">deoarece acesta are un rol exclusiv tehnic și descriptiv pentru colectarea datelor de supraveghere a băncilor care au aplicat IRB. De menționat că raportul în cauză se prezinta în UE până la sfârșitul anului 2026 si </w:t>
            </w:r>
            <w:r w:rsidR="00317DCC" w:rsidRPr="00A24080">
              <w:rPr>
                <w:bCs/>
                <w:sz w:val="22"/>
                <w:szCs w:val="22"/>
                <w:lang w:val="ro-RO"/>
              </w:rPr>
              <w:t>ț</w:t>
            </w:r>
            <w:r w:rsidR="0011609E" w:rsidRPr="00A24080">
              <w:rPr>
                <w:bCs/>
                <w:sz w:val="22"/>
                <w:szCs w:val="22"/>
                <w:lang w:val="ro-RO"/>
              </w:rPr>
              <w:t>in</w:t>
            </w:r>
            <w:r w:rsidR="00317DCC" w:rsidRPr="00A24080">
              <w:rPr>
                <w:bCs/>
                <w:sz w:val="22"/>
                <w:szCs w:val="22"/>
                <w:lang w:val="ro-RO"/>
              </w:rPr>
              <w:t>â</w:t>
            </w:r>
            <w:r w:rsidR="0011609E" w:rsidRPr="00A24080">
              <w:rPr>
                <w:bCs/>
                <w:sz w:val="22"/>
                <w:szCs w:val="22"/>
                <w:lang w:val="ro-RO"/>
              </w:rPr>
              <w:t xml:space="preserve">nd cont de faptul ca proiectul HCE  va intra in vigoare la 01.01.2028 acest raport deja nu va mai fi prezentat la nivelul UE. </w:t>
            </w:r>
          </w:p>
          <w:p w14:paraId="18AF7A86" w14:textId="49239B11" w:rsidR="00767996" w:rsidRPr="00A24080" w:rsidRDefault="00767996" w:rsidP="0028208B">
            <w:pPr>
              <w:jc w:val="both"/>
              <w:rPr>
                <w:bCs/>
                <w:sz w:val="22"/>
                <w:szCs w:val="22"/>
                <w:lang w:val="ro-RO"/>
              </w:rPr>
            </w:pPr>
          </w:p>
        </w:tc>
      </w:tr>
      <w:tr w:rsidR="003042F0" w:rsidRPr="00EE7DB0" w14:paraId="4E9752DA" w14:textId="77777777" w:rsidTr="0028208B">
        <w:tc>
          <w:tcPr>
            <w:tcW w:w="5143" w:type="dxa"/>
          </w:tcPr>
          <w:p w14:paraId="5C90283A" w14:textId="77777777" w:rsidR="003042F0" w:rsidRPr="00A24080" w:rsidRDefault="003042F0" w:rsidP="0028208B">
            <w:pPr>
              <w:ind w:right="90"/>
              <w:jc w:val="both"/>
              <w:rPr>
                <w:sz w:val="22"/>
                <w:szCs w:val="22"/>
                <w:lang w:val="ro-RO"/>
              </w:rPr>
            </w:pPr>
          </w:p>
        </w:tc>
        <w:tc>
          <w:tcPr>
            <w:tcW w:w="5103" w:type="dxa"/>
          </w:tcPr>
          <w:p w14:paraId="56A8D5EE" w14:textId="2FD6C396" w:rsidR="006E757E" w:rsidRPr="00A24080" w:rsidRDefault="006E757E" w:rsidP="0028208B">
            <w:pPr>
              <w:ind w:firstLine="708"/>
              <w:jc w:val="right"/>
              <w:rPr>
                <w:sz w:val="22"/>
                <w:szCs w:val="22"/>
                <w:lang w:val="ro-RO" w:eastAsia="en-US"/>
                <w14:ligatures w14:val="none"/>
              </w:rPr>
            </w:pPr>
            <w:bookmarkStart w:id="29" w:name="_Hlk228952036"/>
            <w:r w:rsidRPr="00A24080">
              <w:rPr>
                <w:sz w:val="22"/>
                <w:szCs w:val="22"/>
                <w:lang w:val="ro-RO" w:eastAsia="en-US"/>
                <w14:ligatures w14:val="none"/>
              </w:rPr>
              <w:t>Anexa nr.</w:t>
            </w:r>
            <w:r w:rsidR="00824406" w:rsidRPr="00A24080">
              <w:rPr>
                <w:sz w:val="22"/>
                <w:szCs w:val="22"/>
                <w:lang w:val="ro-RO" w:eastAsia="en-US"/>
                <w14:ligatures w14:val="none"/>
              </w:rPr>
              <w:t>6</w:t>
            </w:r>
            <w:r w:rsidR="00824406" w:rsidRPr="00A24080">
              <w:rPr>
                <w:sz w:val="22"/>
                <w:szCs w:val="22"/>
                <w:vertAlign w:val="superscript"/>
                <w:lang w:val="ro-RO" w:eastAsia="en-US"/>
                <w14:ligatures w14:val="none"/>
              </w:rPr>
              <w:t>1</w:t>
            </w:r>
          </w:p>
          <w:p w14:paraId="2623F3D7" w14:textId="77777777" w:rsidR="006E757E" w:rsidRPr="00A24080" w:rsidRDefault="006E757E" w:rsidP="0028208B">
            <w:pPr>
              <w:ind w:firstLine="708"/>
              <w:jc w:val="right"/>
              <w:rPr>
                <w:sz w:val="22"/>
                <w:szCs w:val="22"/>
                <w:lang w:val="ro-RO" w:eastAsia="en-US"/>
                <w14:ligatures w14:val="none"/>
              </w:rPr>
            </w:pPr>
            <w:r w:rsidRPr="00A24080">
              <w:rPr>
                <w:sz w:val="22"/>
                <w:szCs w:val="22"/>
                <w:lang w:val="ro-RO" w:eastAsia="en-US"/>
                <w14:ligatures w14:val="none"/>
              </w:rPr>
              <w:t>la Instrucțiunea cu privire la prezentarea</w:t>
            </w:r>
          </w:p>
          <w:p w14:paraId="4C4E338E" w14:textId="77777777" w:rsidR="006E757E" w:rsidRPr="00A24080" w:rsidRDefault="006E757E" w:rsidP="0028208B">
            <w:pPr>
              <w:ind w:firstLine="708"/>
              <w:jc w:val="right"/>
              <w:rPr>
                <w:sz w:val="22"/>
                <w:szCs w:val="22"/>
                <w:lang w:val="ro-RO" w:eastAsia="en-US"/>
                <w14:ligatures w14:val="none"/>
              </w:rPr>
            </w:pPr>
            <w:r w:rsidRPr="00A24080">
              <w:rPr>
                <w:sz w:val="22"/>
                <w:szCs w:val="22"/>
                <w:lang w:val="ro-RO" w:eastAsia="en-US"/>
                <w14:ligatures w14:val="none"/>
              </w:rPr>
              <w:t>de către bănci a rapoartelor COREP</w:t>
            </w:r>
          </w:p>
          <w:p w14:paraId="6F1CAE1E" w14:textId="77777777" w:rsidR="006E757E" w:rsidRPr="00A24080" w:rsidRDefault="006E757E" w:rsidP="0028208B">
            <w:pPr>
              <w:ind w:firstLine="708"/>
              <w:jc w:val="right"/>
              <w:rPr>
                <w:sz w:val="22"/>
                <w:szCs w:val="22"/>
                <w:lang w:val="ro-RO" w:eastAsia="en-US"/>
                <w14:ligatures w14:val="none"/>
              </w:rPr>
            </w:pPr>
            <w:r w:rsidRPr="00A24080">
              <w:rPr>
                <w:sz w:val="22"/>
                <w:szCs w:val="22"/>
                <w:lang w:val="ro-RO" w:eastAsia="en-US"/>
                <w14:ligatures w14:val="none"/>
              </w:rPr>
              <w:t>în scopuri de supraveghere</w:t>
            </w:r>
          </w:p>
          <w:p w14:paraId="216430BC" w14:textId="0AE342C9" w:rsidR="003042F0" w:rsidRPr="00A24080" w:rsidRDefault="003F46A6" w:rsidP="0028208B">
            <w:pPr>
              <w:ind w:right="90"/>
              <w:jc w:val="both"/>
              <w:rPr>
                <w:b/>
                <w:bCs/>
                <w:sz w:val="22"/>
                <w:szCs w:val="22"/>
                <w:u w:val="single"/>
                <w:lang w:val="ro-RO"/>
              </w:rPr>
            </w:pPr>
            <w:r w:rsidRPr="00A24080">
              <w:rPr>
                <w:b/>
                <w:bCs/>
                <w:sz w:val="22"/>
                <w:szCs w:val="22"/>
                <w:lang w:val="ro-RO"/>
                <w14:ligatures w14:val="none"/>
              </w:rPr>
              <w:t xml:space="preserve">Capitolul I. </w:t>
            </w:r>
            <w:r w:rsidRPr="00A24080">
              <w:rPr>
                <w:b/>
                <w:bCs/>
                <w:sz w:val="22"/>
                <w:szCs w:val="22"/>
                <w:u w:val="single"/>
                <w:lang w:val="ro-RO"/>
              </w:rPr>
              <w:t>RAPOARTE AFERENTE MONITORIZĂRII PORTOFOLIULUI DE TRANZACȚIONARE</w:t>
            </w:r>
            <w:bookmarkEnd w:id="29"/>
          </w:p>
        </w:tc>
        <w:tc>
          <w:tcPr>
            <w:tcW w:w="1418" w:type="dxa"/>
          </w:tcPr>
          <w:p w14:paraId="1BAE52D9" w14:textId="77777777" w:rsidR="003042F0" w:rsidRPr="00A24080" w:rsidRDefault="003042F0" w:rsidP="0028208B">
            <w:pPr>
              <w:jc w:val="both"/>
              <w:rPr>
                <w:sz w:val="22"/>
                <w:szCs w:val="22"/>
                <w:lang w:val="ro-RO"/>
              </w:rPr>
            </w:pPr>
          </w:p>
        </w:tc>
        <w:tc>
          <w:tcPr>
            <w:tcW w:w="3544" w:type="dxa"/>
            <w:tcBorders>
              <w:top w:val="single" w:sz="4" w:space="0" w:color="auto"/>
              <w:bottom w:val="single" w:sz="4" w:space="0" w:color="auto"/>
            </w:tcBorders>
          </w:tcPr>
          <w:p w14:paraId="09AD0B4E" w14:textId="77777777" w:rsidR="003042F0" w:rsidRPr="00A24080" w:rsidRDefault="003042F0" w:rsidP="0028208B">
            <w:pPr>
              <w:jc w:val="both"/>
              <w:rPr>
                <w:bCs/>
                <w:sz w:val="22"/>
                <w:szCs w:val="22"/>
                <w:lang w:val="ro-RO"/>
              </w:rPr>
            </w:pPr>
          </w:p>
        </w:tc>
      </w:tr>
      <w:tr w:rsidR="003042F0" w:rsidRPr="00A24080" w14:paraId="39DF93BE" w14:textId="77777777" w:rsidTr="0028208B">
        <w:tc>
          <w:tcPr>
            <w:tcW w:w="5143" w:type="dxa"/>
          </w:tcPr>
          <w:p w14:paraId="5FC3B6E3" w14:textId="6E944E2B" w:rsidR="003042F0" w:rsidRPr="00A24080" w:rsidRDefault="003042F0" w:rsidP="0028208B">
            <w:pPr>
              <w:ind w:right="90"/>
              <w:jc w:val="both"/>
              <w:rPr>
                <w:sz w:val="22"/>
                <w:szCs w:val="22"/>
                <w:lang w:val="ro-RO"/>
              </w:rPr>
            </w:pPr>
            <w:r w:rsidRPr="00A24080">
              <w:rPr>
                <w:sz w:val="22"/>
                <w:szCs w:val="22"/>
                <w:lang w:val="ro-RO"/>
              </w:rPr>
              <w:t>9. Pragurile pentru portofoliul de tranzacționare și riscul de piață, limita dintre poziții din portofoliul de tranzacționare și poziții din afara portofoliului de tranzacționare și reclasificările</w:t>
            </w:r>
          </w:p>
        </w:tc>
        <w:tc>
          <w:tcPr>
            <w:tcW w:w="5103" w:type="dxa"/>
          </w:tcPr>
          <w:p w14:paraId="724C0046" w14:textId="12C81AD5" w:rsidR="003042F0" w:rsidRPr="00A24080" w:rsidRDefault="00732FE5" w:rsidP="0028208B">
            <w:pPr>
              <w:ind w:right="90"/>
              <w:jc w:val="both"/>
              <w:rPr>
                <w:sz w:val="22"/>
                <w:szCs w:val="22"/>
                <w:lang w:val="ro-RO"/>
              </w:rPr>
            </w:pPr>
            <w:bookmarkStart w:id="30" w:name="_Hlk228952156"/>
            <w:r w:rsidRPr="00A24080">
              <w:rPr>
                <w:sz w:val="22"/>
                <w:szCs w:val="22"/>
                <w:lang w:val="ro-RO"/>
              </w:rPr>
              <w:t>1</w:t>
            </w:r>
            <w:r w:rsidR="003042F0" w:rsidRPr="00A24080">
              <w:rPr>
                <w:sz w:val="22"/>
                <w:szCs w:val="22"/>
                <w:lang w:val="ro-RO"/>
              </w:rPr>
              <w:t xml:space="preserve">. </w:t>
            </w:r>
            <w:r w:rsidRPr="00A24080">
              <w:rPr>
                <w:sz w:val="22"/>
                <w:szCs w:val="22"/>
                <w:lang w:val="ro-RO"/>
              </w:rPr>
              <w:t xml:space="preserve">Aceste instrucțiuni se referă la formularele aferente monitorizării portofoliului de tranzacționare prin care se raportează </w:t>
            </w:r>
            <w:r w:rsidR="007C32EE" w:rsidRPr="00A24080">
              <w:rPr>
                <w:sz w:val="22"/>
                <w:szCs w:val="22"/>
                <w:lang w:val="ro-RO"/>
              </w:rPr>
              <w:t>p</w:t>
            </w:r>
            <w:r w:rsidR="003042F0" w:rsidRPr="00A24080">
              <w:rPr>
                <w:sz w:val="22"/>
                <w:szCs w:val="22"/>
                <w:lang w:val="ro-RO"/>
              </w:rPr>
              <w:t>ragurile pentru portofoliul de tranzacționare și riscul de piață, limita dintre poziții din portofoliul de tranzacționare și poziții din afara portofoliului de tranzacționare și reclasificările</w:t>
            </w:r>
            <w:bookmarkEnd w:id="30"/>
            <w:r w:rsidR="007C32EE" w:rsidRPr="00A24080">
              <w:rPr>
                <w:sz w:val="22"/>
                <w:szCs w:val="22"/>
                <w:lang w:val="ro-RO"/>
              </w:rPr>
              <w:t>.</w:t>
            </w:r>
          </w:p>
        </w:tc>
        <w:tc>
          <w:tcPr>
            <w:tcW w:w="1418" w:type="dxa"/>
          </w:tcPr>
          <w:p w14:paraId="68B36727" w14:textId="570D7763"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5892865" w14:textId="77777777" w:rsidR="003042F0" w:rsidRPr="00A24080" w:rsidRDefault="003042F0" w:rsidP="0028208B">
            <w:pPr>
              <w:jc w:val="both"/>
              <w:rPr>
                <w:bCs/>
                <w:sz w:val="22"/>
                <w:szCs w:val="22"/>
                <w:lang w:val="ro-RO"/>
              </w:rPr>
            </w:pPr>
          </w:p>
        </w:tc>
      </w:tr>
      <w:tr w:rsidR="003042F0" w:rsidRPr="00A24080" w14:paraId="54391EEF" w14:textId="77777777" w:rsidTr="0028208B">
        <w:tc>
          <w:tcPr>
            <w:tcW w:w="5143" w:type="dxa"/>
          </w:tcPr>
          <w:p w14:paraId="7D709CFD" w14:textId="54746DB5" w:rsidR="003042F0" w:rsidRPr="00A24080" w:rsidRDefault="003042F0" w:rsidP="0028208B">
            <w:pPr>
              <w:ind w:right="90"/>
              <w:jc w:val="both"/>
              <w:rPr>
                <w:sz w:val="22"/>
                <w:szCs w:val="22"/>
                <w:lang w:val="ro-RO"/>
              </w:rPr>
            </w:pPr>
            <w:r w:rsidRPr="00A24080">
              <w:rPr>
                <w:sz w:val="22"/>
                <w:szCs w:val="22"/>
                <w:lang w:val="ro-RO"/>
              </w:rPr>
              <w:t>9.1 C 90.00 – Pragurile pentru portofoliul de tranzacționare și riscul de piață</w:t>
            </w:r>
          </w:p>
        </w:tc>
        <w:tc>
          <w:tcPr>
            <w:tcW w:w="5103" w:type="dxa"/>
          </w:tcPr>
          <w:p w14:paraId="6443A300" w14:textId="33801B33" w:rsidR="003042F0" w:rsidRPr="00A24080" w:rsidRDefault="00732FE5" w:rsidP="0028208B">
            <w:pPr>
              <w:ind w:right="90"/>
              <w:jc w:val="both"/>
              <w:rPr>
                <w:sz w:val="22"/>
                <w:szCs w:val="22"/>
                <w:lang w:val="ro-RO"/>
              </w:rPr>
            </w:pPr>
            <w:bookmarkStart w:id="31" w:name="_Hlk228952189"/>
            <w:r w:rsidRPr="00A24080">
              <w:rPr>
                <w:b/>
                <w:i/>
                <w:sz w:val="22"/>
                <w:szCs w:val="22"/>
                <w:lang w:val="pt-BR"/>
              </w:rPr>
              <w:t>Secțiunea 1.</w:t>
            </w:r>
            <w:r w:rsidR="003042F0" w:rsidRPr="00A24080">
              <w:rPr>
                <w:sz w:val="22"/>
                <w:szCs w:val="22"/>
                <w:lang w:val="ro-RO"/>
              </w:rPr>
              <w:t xml:space="preserve"> C 90.00 – Pragurile pentru portofoliul de tranzacționare și riscul de piață</w:t>
            </w:r>
            <w:bookmarkEnd w:id="31"/>
            <w:r w:rsidR="002862FD">
              <w:rPr>
                <w:sz w:val="22"/>
                <w:szCs w:val="22"/>
                <w:lang w:val="ro-RO"/>
              </w:rPr>
              <w:t xml:space="preserve"> (TBT)</w:t>
            </w:r>
          </w:p>
        </w:tc>
        <w:tc>
          <w:tcPr>
            <w:tcW w:w="1418" w:type="dxa"/>
          </w:tcPr>
          <w:p w14:paraId="11D1120B" w14:textId="62EA0430"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CADD7B6" w14:textId="77777777" w:rsidR="003042F0" w:rsidRPr="00A24080" w:rsidRDefault="003042F0" w:rsidP="0028208B">
            <w:pPr>
              <w:jc w:val="both"/>
              <w:rPr>
                <w:bCs/>
                <w:sz w:val="22"/>
                <w:szCs w:val="22"/>
                <w:lang w:val="ro-RO"/>
              </w:rPr>
            </w:pPr>
          </w:p>
        </w:tc>
      </w:tr>
      <w:tr w:rsidR="003042F0" w:rsidRPr="00A24080" w14:paraId="03080778" w14:textId="77777777" w:rsidTr="0028208B">
        <w:tc>
          <w:tcPr>
            <w:tcW w:w="5143" w:type="dxa"/>
          </w:tcPr>
          <w:p w14:paraId="6D5FAF07" w14:textId="015EA1EB" w:rsidR="003042F0" w:rsidRPr="00A24080" w:rsidRDefault="003042F0" w:rsidP="0028208B">
            <w:pPr>
              <w:ind w:right="90"/>
              <w:jc w:val="both"/>
              <w:rPr>
                <w:sz w:val="22"/>
                <w:szCs w:val="22"/>
                <w:lang w:val="ro-RO"/>
              </w:rPr>
            </w:pPr>
            <w:bookmarkStart w:id="32" w:name="_Hlk228952214"/>
            <w:r w:rsidRPr="00A24080">
              <w:rPr>
                <w:sz w:val="22"/>
                <w:szCs w:val="22"/>
                <w:lang w:val="ro-RO"/>
              </w:rPr>
              <w:t>9.1.1 Observații generale</w:t>
            </w:r>
          </w:p>
        </w:tc>
        <w:tc>
          <w:tcPr>
            <w:tcW w:w="5103" w:type="dxa"/>
          </w:tcPr>
          <w:p w14:paraId="0ACA806E" w14:textId="1D3F67EA" w:rsidR="003042F0" w:rsidRPr="00A24080" w:rsidRDefault="00732FE5" w:rsidP="0028208B">
            <w:pPr>
              <w:ind w:right="90"/>
              <w:jc w:val="both"/>
              <w:rPr>
                <w:sz w:val="22"/>
                <w:szCs w:val="22"/>
                <w:lang w:val="ro-RO"/>
              </w:rPr>
            </w:pPr>
            <w:r w:rsidRPr="00A24080">
              <w:rPr>
                <w:sz w:val="22"/>
                <w:szCs w:val="22"/>
                <w:lang w:val="ro-RO"/>
              </w:rPr>
              <w:t>Subsecțiunea 1.</w:t>
            </w:r>
            <w:r w:rsidR="003042F0" w:rsidRPr="00A24080">
              <w:rPr>
                <w:sz w:val="22"/>
                <w:szCs w:val="22"/>
                <w:lang w:val="ro-RO"/>
              </w:rPr>
              <w:t xml:space="preserve"> Observații generale</w:t>
            </w:r>
          </w:p>
        </w:tc>
        <w:tc>
          <w:tcPr>
            <w:tcW w:w="1418" w:type="dxa"/>
          </w:tcPr>
          <w:p w14:paraId="15ADAA32" w14:textId="2E4965A2"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266F66A" w14:textId="77777777" w:rsidR="003042F0" w:rsidRPr="00A24080" w:rsidRDefault="003042F0" w:rsidP="0028208B">
            <w:pPr>
              <w:jc w:val="both"/>
              <w:rPr>
                <w:bCs/>
                <w:sz w:val="22"/>
                <w:szCs w:val="22"/>
                <w:lang w:val="ro-RO"/>
              </w:rPr>
            </w:pPr>
          </w:p>
        </w:tc>
      </w:tr>
      <w:bookmarkEnd w:id="32"/>
      <w:tr w:rsidR="003042F0" w:rsidRPr="00A24080" w14:paraId="1AD675FE" w14:textId="77777777" w:rsidTr="0028208B">
        <w:tc>
          <w:tcPr>
            <w:tcW w:w="5143" w:type="dxa"/>
          </w:tcPr>
          <w:p w14:paraId="1304703F" w14:textId="4AFD07C6" w:rsidR="003042F0" w:rsidRPr="00A24080" w:rsidRDefault="003042F0" w:rsidP="0028208B">
            <w:pPr>
              <w:ind w:right="90"/>
              <w:jc w:val="both"/>
              <w:rPr>
                <w:sz w:val="22"/>
                <w:szCs w:val="22"/>
                <w:lang w:val="ro-RO"/>
              </w:rPr>
            </w:pPr>
            <w:r w:rsidRPr="00A24080">
              <w:rPr>
                <w:sz w:val="22"/>
                <w:szCs w:val="22"/>
                <w:lang w:val="ro-RO"/>
              </w:rPr>
              <w:lastRenderedPageBreak/>
              <w:t>208.</w:t>
            </w:r>
            <w:r w:rsidRPr="00A24080">
              <w:rPr>
                <w:sz w:val="22"/>
                <w:szCs w:val="22"/>
                <w:lang w:val="ro-RO"/>
              </w:rPr>
              <w:tab/>
              <w:t>Informațiile furnizate în prezentul formular trebuie să reflecte rezultatul calculului menționat la articolul 94 din Regulamentul (UE) nr. 575/2013 (derogare pentru portofoliile de tranzacționare de mici dimensiuni) și dimensiunea operațiunilor bilanțiere și extrabilanțiere care prezintă un risc de piață ale instituției, calculată în conformitate cu articolul 325a din Regulamentul (UE) nr. 575/2013.</w:t>
            </w:r>
          </w:p>
        </w:tc>
        <w:tc>
          <w:tcPr>
            <w:tcW w:w="5103" w:type="dxa"/>
          </w:tcPr>
          <w:p w14:paraId="2C52D902" w14:textId="48DAC944" w:rsidR="003042F0" w:rsidRPr="00A24080" w:rsidRDefault="00732FE5" w:rsidP="0028208B">
            <w:pPr>
              <w:ind w:right="90"/>
              <w:jc w:val="both"/>
              <w:rPr>
                <w:sz w:val="22"/>
                <w:szCs w:val="22"/>
                <w:lang w:val="ro-RO"/>
              </w:rPr>
            </w:pPr>
            <w:bookmarkStart w:id="33" w:name="_Hlk228952240"/>
            <w:r w:rsidRPr="00A24080">
              <w:rPr>
                <w:sz w:val="22"/>
                <w:szCs w:val="22"/>
                <w:lang w:val="ro-RO"/>
              </w:rPr>
              <w:t>2</w:t>
            </w:r>
            <w:r w:rsidR="003042F0" w:rsidRPr="00A24080">
              <w:rPr>
                <w:sz w:val="22"/>
                <w:szCs w:val="22"/>
                <w:lang w:val="ro-RO"/>
              </w:rPr>
              <w:t>.</w:t>
            </w:r>
            <w:r w:rsidR="003042F0" w:rsidRPr="00A24080">
              <w:rPr>
                <w:sz w:val="22"/>
                <w:szCs w:val="22"/>
                <w:lang w:val="ro-RO"/>
              </w:rPr>
              <w:tab/>
              <w:t xml:space="preserve">Informațiile furnizate în prezentul formular trebuie să reflecte rezultatul calculului menționat la </w:t>
            </w:r>
            <w:r w:rsidR="00B70036" w:rsidRPr="00A24080">
              <w:rPr>
                <w:sz w:val="22"/>
                <w:szCs w:val="22"/>
                <w:lang w:val="ro-RO"/>
              </w:rPr>
              <w:t>pct.135-137</w:t>
            </w:r>
            <w:r w:rsidR="00B70036" w:rsidRPr="00A24080">
              <w:rPr>
                <w:sz w:val="22"/>
                <w:szCs w:val="22"/>
                <w:vertAlign w:val="superscript"/>
                <w:lang w:val="ro-RO"/>
              </w:rPr>
              <w:t>3</w:t>
            </w:r>
            <w:r w:rsidR="003042F0" w:rsidRPr="00A24080">
              <w:rPr>
                <w:sz w:val="22"/>
                <w:szCs w:val="22"/>
                <w:lang w:val="ro-RO"/>
              </w:rPr>
              <w:t xml:space="preserve"> </w:t>
            </w:r>
            <w:r w:rsidR="00B70036" w:rsidRPr="00A24080">
              <w:rPr>
                <w:sz w:val="22"/>
                <w:szCs w:val="22"/>
                <w:lang w:val="ro-RO"/>
              </w:rPr>
              <w:t xml:space="preserve">din Regulamentul nr.109/2018  </w:t>
            </w:r>
            <w:r w:rsidR="003042F0" w:rsidRPr="00A24080">
              <w:rPr>
                <w:sz w:val="22"/>
                <w:szCs w:val="22"/>
                <w:lang w:val="ro-RO"/>
              </w:rPr>
              <w:t xml:space="preserve">(derogare pentru portofoliile de tranzacționare de mici dimensiuni) și dimensiunea operațiunilor bilanțiere și extrabilanțiere care prezintă un risc de piață ale </w:t>
            </w:r>
            <w:r w:rsidR="00F466E1" w:rsidRPr="00A24080">
              <w:rPr>
                <w:sz w:val="22"/>
                <w:szCs w:val="22"/>
                <w:lang w:val="ro-RO"/>
              </w:rPr>
              <w:t>băncii</w:t>
            </w:r>
            <w:r w:rsidR="003042F0" w:rsidRPr="00A24080">
              <w:rPr>
                <w:sz w:val="22"/>
                <w:szCs w:val="22"/>
                <w:lang w:val="ro-RO"/>
              </w:rPr>
              <w:t xml:space="preserve">, calculată în conformitate cu </w:t>
            </w:r>
            <w:r w:rsidR="00610991" w:rsidRPr="00A24080">
              <w:rPr>
                <w:sz w:val="22"/>
                <w:szCs w:val="22"/>
                <w:lang w:val="ro-RO"/>
              </w:rPr>
              <w:t>titlul II capitolul I secțiunea 2 din Regulamentul nr.XX/2026</w:t>
            </w:r>
            <w:r w:rsidR="003042F0" w:rsidRPr="00A24080">
              <w:rPr>
                <w:sz w:val="22"/>
                <w:szCs w:val="22"/>
                <w:lang w:val="ro-RO"/>
              </w:rPr>
              <w:t>.</w:t>
            </w:r>
            <w:bookmarkEnd w:id="33"/>
          </w:p>
        </w:tc>
        <w:tc>
          <w:tcPr>
            <w:tcW w:w="1418" w:type="dxa"/>
          </w:tcPr>
          <w:p w14:paraId="015BFD71" w14:textId="006D166F"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116981D" w14:textId="77777777" w:rsidR="003042F0" w:rsidRPr="00A24080" w:rsidRDefault="003042F0" w:rsidP="0028208B">
            <w:pPr>
              <w:jc w:val="both"/>
              <w:rPr>
                <w:bCs/>
                <w:sz w:val="22"/>
                <w:szCs w:val="22"/>
                <w:lang w:val="ro-RO"/>
              </w:rPr>
            </w:pPr>
          </w:p>
        </w:tc>
      </w:tr>
      <w:tr w:rsidR="003042F0" w:rsidRPr="00A24080" w14:paraId="0692833D" w14:textId="77777777" w:rsidTr="0028208B">
        <w:tc>
          <w:tcPr>
            <w:tcW w:w="5143" w:type="dxa"/>
          </w:tcPr>
          <w:p w14:paraId="54D9BFA0" w14:textId="224A2C22" w:rsidR="003042F0" w:rsidRPr="00A24080" w:rsidRDefault="003042F0" w:rsidP="0028208B">
            <w:pPr>
              <w:ind w:right="90"/>
              <w:jc w:val="both"/>
              <w:rPr>
                <w:sz w:val="22"/>
                <w:szCs w:val="22"/>
                <w:lang w:val="ro-RO"/>
              </w:rPr>
            </w:pPr>
            <w:r w:rsidRPr="00A24080">
              <w:rPr>
                <w:sz w:val="22"/>
                <w:szCs w:val="22"/>
                <w:lang w:val="ro-RO"/>
              </w:rPr>
              <w:t>9.1.2</w:t>
            </w:r>
            <w:r w:rsidRPr="00A24080">
              <w:rPr>
                <w:sz w:val="22"/>
                <w:szCs w:val="22"/>
                <w:lang w:val="ro-RO"/>
              </w:rPr>
              <w:tab/>
              <w:t>Instrucțiuni privind anumite poziții</w:t>
            </w:r>
          </w:p>
        </w:tc>
        <w:tc>
          <w:tcPr>
            <w:tcW w:w="5103" w:type="dxa"/>
          </w:tcPr>
          <w:p w14:paraId="40994786" w14:textId="343C8EA7" w:rsidR="003042F0" w:rsidRPr="00A24080" w:rsidRDefault="00610991" w:rsidP="0028208B">
            <w:pPr>
              <w:ind w:right="90"/>
              <w:jc w:val="both"/>
              <w:rPr>
                <w:sz w:val="22"/>
                <w:szCs w:val="22"/>
                <w:lang w:val="ro-RO"/>
              </w:rPr>
            </w:pPr>
            <w:bookmarkStart w:id="34" w:name="_Hlk228952264"/>
            <w:r w:rsidRPr="00A24080">
              <w:rPr>
                <w:sz w:val="22"/>
                <w:szCs w:val="22"/>
                <w:lang w:val="ro-RO"/>
              </w:rPr>
              <w:t>Subsecțiunea 2.</w:t>
            </w:r>
            <w:r w:rsidR="003042F0" w:rsidRPr="00A24080">
              <w:rPr>
                <w:sz w:val="22"/>
                <w:szCs w:val="22"/>
                <w:lang w:val="ro-RO"/>
              </w:rPr>
              <w:tab/>
              <w:t>Instrucțiuni privind anumite poziții</w:t>
            </w:r>
            <w:bookmarkEnd w:id="34"/>
          </w:p>
        </w:tc>
        <w:tc>
          <w:tcPr>
            <w:tcW w:w="1418" w:type="dxa"/>
          </w:tcPr>
          <w:p w14:paraId="5359B6D2" w14:textId="77777777" w:rsidR="003042F0" w:rsidRPr="00A24080" w:rsidRDefault="003042F0" w:rsidP="0028208B">
            <w:pPr>
              <w:jc w:val="both"/>
              <w:rPr>
                <w:sz w:val="22"/>
                <w:szCs w:val="22"/>
                <w:lang w:val="ro-RO"/>
              </w:rPr>
            </w:pPr>
          </w:p>
        </w:tc>
        <w:tc>
          <w:tcPr>
            <w:tcW w:w="3544" w:type="dxa"/>
            <w:tcBorders>
              <w:top w:val="single" w:sz="4" w:space="0" w:color="auto"/>
              <w:bottom w:val="single" w:sz="4" w:space="0" w:color="auto"/>
            </w:tcBorders>
          </w:tcPr>
          <w:p w14:paraId="33C779A5" w14:textId="77777777" w:rsidR="003042F0" w:rsidRPr="00A24080" w:rsidRDefault="003042F0" w:rsidP="0028208B">
            <w:pPr>
              <w:jc w:val="both"/>
              <w:rPr>
                <w:bCs/>
                <w:sz w:val="22"/>
                <w:szCs w:val="22"/>
                <w:lang w:val="ro-RO"/>
              </w:rPr>
            </w:pPr>
          </w:p>
        </w:tc>
      </w:tr>
      <w:tr w:rsidR="003042F0" w:rsidRPr="00A24080" w14:paraId="1DB1ED83" w14:textId="77777777" w:rsidTr="0028208B">
        <w:tc>
          <w:tcPr>
            <w:tcW w:w="5143" w:type="dxa"/>
          </w:tcPr>
          <w:p w14:paraId="6E4086DA" w14:textId="58B23ACC" w:rsidR="003042F0" w:rsidRPr="00A24080" w:rsidRDefault="003042F0" w:rsidP="0028208B">
            <w:pPr>
              <w:ind w:right="90"/>
              <w:jc w:val="both"/>
              <w:rPr>
                <w:sz w:val="22"/>
                <w:szCs w:val="22"/>
                <w:lang w:val="ro-RO"/>
              </w:rPr>
            </w:pPr>
            <w:r w:rsidRPr="00A24080">
              <w:rPr>
                <w:sz w:val="22"/>
                <w:szCs w:val="22"/>
                <w:lang w:val="ro-RO"/>
              </w:rPr>
              <w:t>209.</w:t>
            </w:r>
            <w:r w:rsidRPr="00A24080">
              <w:rPr>
                <w:sz w:val="22"/>
                <w:szCs w:val="22"/>
                <w:lang w:val="ro-RO"/>
              </w:rPr>
              <w:tab/>
              <w:t>Rezultatul calculului menționat la articolul 94 din Regulamentul (UE) nr. 575/2013 și informațiile privind dimensiunea operațiunilor bilanțiere și extrabilanțiere care prezintă un risc de piață ale instituției, calculată în conformitate cu articolul 325a din Regulamentul (UE) nr. 575/2013, se raportează separat pentru fiecare sfârșit de lună din trimestrul la care se referă raportul, pe rândurile 0010-0030.</w:t>
            </w:r>
          </w:p>
        </w:tc>
        <w:tc>
          <w:tcPr>
            <w:tcW w:w="5103" w:type="dxa"/>
          </w:tcPr>
          <w:p w14:paraId="3C825906" w14:textId="0C15F451" w:rsidR="003042F0" w:rsidRPr="00A24080" w:rsidRDefault="00610991" w:rsidP="0028208B">
            <w:pPr>
              <w:ind w:right="90"/>
              <w:jc w:val="both"/>
              <w:rPr>
                <w:sz w:val="22"/>
                <w:szCs w:val="22"/>
                <w:lang w:val="ro-RO"/>
              </w:rPr>
            </w:pPr>
            <w:bookmarkStart w:id="35" w:name="_Hlk228952297"/>
            <w:r w:rsidRPr="00A24080">
              <w:rPr>
                <w:sz w:val="22"/>
                <w:szCs w:val="22"/>
                <w:lang w:val="ro-RO"/>
              </w:rPr>
              <w:t>3</w:t>
            </w:r>
            <w:r w:rsidR="003042F0" w:rsidRPr="00A24080">
              <w:rPr>
                <w:sz w:val="22"/>
                <w:szCs w:val="22"/>
                <w:lang w:val="ro-RO"/>
              </w:rPr>
              <w:t>.</w:t>
            </w:r>
            <w:r w:rsidR="003042F0" w:rsidRPr="00A24080">
              <w:rPr>
                <w:sz w:val="22"/>
                <w:szCs w:val="22"/>
                <w:lang w:val="ro-RO"/>
              </w:rPr>
              <w:tab/>
              <w:t xml:space="preserve">Rezultatul calculului menționat la </w:t>
            </w:r>
            <w:r w:rsidR="00B70036" w:rsidRPr="00A24080">
              <w:rPr>
                <w:sz w:val="22"/>
                <w:szCs w:val="22"/>
                <w:lang w:val="ro-RO"/>
              </w:rPr>
              <w:t>pct.135-137</w:t>
            </w:r>
            <w:r w:rsidR="00B70036" w:rsidRPr="00A24080">
              <w:rPr>
                <w:sz w:val="22"/>
                <w:szCs w:val="22"/>
                <w:vertAlign w:val="superscript"/>
                <w:lang w:val="ro-RO"/>
              </w:rPr>
              <w:t>3</w:t>
            </w:r>
            <w:r w:rsidR="00B70036" w:rsidRPr="00A24080">
              <w:rPr>
                <w:sz w:val="22"/>
                <w:szCs w:val="22"/>
                <w:lang w:val="ro-RO"/>
              </w:rPr>
              <w:t xml:space="preserve"> din Regulamentul nr.109/2018 </w:t>
            </w:r>
            <w:r w:rsidR="003042F0" w:rsidRPr="00A24080">
              <w:rPr>
                <w:sz w:val="22"/>
                <w:szCs w:val="22"/>
                <w:lang w:val="ro-RO"/>
              </w:rPr>
              <w:t xml:space="preserve"> și informațiile privind dimensiunea operațiunilor bilanțiere și extrabilanțiere care prezintă un risc de piață ale </w:t>
            </w:r>
            <w:r w:rsidR="00F466E1" w:rsidRPr="00A24080">
              <w:rPr>
                <w:sz w:val="22"/>
                <w:szCs w:val="22"/>
                <w:lang w:val="ro-RO"/>
              </w:rPr>
              <w:t>băncii</w:t>
            </w:r>
            <w:r w:rsidR="003042F0" w:rsidRPr="00A24080">
              <w:rPr>
                <w:sz w:val="22"/>
                <w:szCs w:val="22"/>
                <w:lang w:val="ro-RO"/>
              </w:rPr>
              <w:t xml:space="preserve">, calculată în conformitate cu </w:t>
            </w:r>
            <w:r w:rsidR="003C628B" w:rsidRPr="00A24080">
              <w:rPr>
                <w:sz w:val="22"/>
                <w:szCs w:val="22"/>
                <w:lang w:val="ro-RO"/>
              </w:rPr>
              <w:t>titlul II capitolul I secțiunea 2 din Regulamentul nr.XX/2026</w:t>
            </w:r>
            <w:r w:rsidR="003042F0" w:rsidRPr="00A24080">
              <w:rPr>
                <w:sz w:val="22"/>
                <w:szCs w:val="22"/>
                <w:lang w:val="ro-RO"/>
              </w:rPr>
              <w:t>, se raportează separat pentru fiecare sfârșit de lună din trimestrul la care se referă raportul, pe rândurile 0010-0030.</w:t>
            </w:r>
            <w:bookmarkEnd w:id="35"/>
          </w:p>
        </w:tc>
        <w:tc>
          <w:tcPr>
            <w:tcW w:w="1418" w:type="dxa"/>
          </w:tcPr>
          <w:p w14:paraId="6F9E1085" w14:textId="321805C4"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DECBA40" w14:textId="77777777" w:rsidR="003042F0" w:rsidRPr="00A24080" w:rsidRDefault="003042F0" w:rsidP="0028208B">
            <w:pPr>
              <w:jc w:val="both"/>
              <w:rPr>
                <w:bCs/>
                <w:sz w:val="22"/>
                <w:szCs w:val="22"/>
                <w:lang w:val="ro-RO"/>
              </w:rPr>
            </w:pPr>
          </w:p>
        </w:tc>
      </w:tr>
      <w:tr w:rsidR="003042F0" w:rsidRPr="00A24080" w14:paraId="416EB6B9"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3042F0" w:rsidRPr="00A24080" w14:paraId="78B30E2B" w14:textId="77777777" w:rsidTr="003042F0">
              <w:tc>
                <w:tcPr>
                  <w:tcW w:w="1056" w:type="dxa"/>
                  <w:shd w:val="clear" w:color="auto" w:fill="AEAAAA" w:themeFill="background2" w:themeFillShade="BF"/>
                </w:tcPr>
                <w:p w14:paraId="4F955CD3" w14:textId="1C30AEFC" w:rsidR="003042F0" w:rsidRPr="00A24080" w:rsidRDefault="003042F0" w:rsidP="0028208B">
                  <w:pPr>
                    <w:framePr w:hSpace="180" w:wrap="around" w:vAnchor="text" w:hAnchor="text" w:x="-612" w:y="1"/>
                    <w:ind w:right="90"/>
                    <w:suppressOverlap/>
                    <w:jc w:val="both"/>
                    <w:rPr>
                      <w:sz w:val="22"/>
                      <w:szCs w:val="22"/>
                      <w:lang w:val="ro-RO"/>
                    </w:rPr>
                  </w:pPr>
                  <w:r w:rsidRPr="00A24080">
                    <w:rPr>
                      <w:b/>
                      <w:sz w:val="22"/>
                      <w:szCs w:val="22"/>
                    </w:rPr>
                    <w:t>Rând</w:t>
                  </w:r>
                </w:p>
              </w:tc>
              <w:tc>
                <w:tcPr>
                  <w:tcW w:w="3861" w:type="dxa"/>
                  <w:shd w:val="clear" w:color="auto" w:fill="AEAAAA" w:themeFill="background2" w:themeFillShade="BF"/>
                </w:tcPr>
                <w:p w14:paraId="3016E099" w14:textId="12B5A89B" w:rsidR="003042F0" w:rsidRPr="00A24080" w:rsidRDefault="003042F0"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r w:rsidR="003042F0" w:rsidRPr="00EE7DB0" w14:paraId="5F0AAC3F" w14:textId="77777777" w:rsidTr="003042F0">
              <w:tc>
                <w:tcPr>
                  <w:tcW w:w="1056" w:type="dxa"/>
                </w:tcPr>
                <w:p w14:paraId="0833777E" w14:textId="7882DC0B"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rPr>
                    <w:t>0010</w:t>
                  </w:r>
                </w:p>
              </w:tc>
              <w:tc>
                <w:tcPr>
                  <w:tcW w:w="3861" w:type="dxa"/>
                </w:tcPr>
                <w:p w14:paraId="4F40939F" w14:textId="77777777" w:rsidR="003042F0" w:rsidRPr="00A24080" w:rsidRDefault="003042F0"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Luna 3</w:t>
                  </w:r>
                </w:p>
                <w:p w14:paraId="397BD798" w14:textId="7B6C1DE3"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lang w:val="it-IT"/>
                    </w:rPr>
                    <w:t>Datele din ultima zi a celei de a treia luni a trimestrului la care se referă raportul.</w:t>
                  </w:r>
                </w:p>
              </w:tc>
            </w:tr>
          </w:tbl>
          <w:p w14:paraId="2F7E2900" w14:textId="77777777" w:rsidR="003042F0" w:rsidRPr="00A24080" w:rsidRDefault="003042F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3042F0" w:rsidRPr="00A24080" w14:paraId="05C77D43" w14:textId="77777777" w:rsidTr="003146FA">
              <w:tc>
                <w:tcPr>
                  <w:tcW w:w="1056" w:type="dxa"/>
                  <w:shd w:val="clear" w:color="auto" w:fill="AEAAAA" w:themeFill="background2" w:themeFillShade="BF"/>
                </w:tcPr>
                <w:p w14:paraId="120CE9FC"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b/>
                      <w:sz w:val="22"/>
                      <w:szCs w:val="22"/>
                    </w:rPr>
                    <w:t>Rând</w:t>
                  </w:r>
                </w:p>
              </w:tc>
              <w:tc>
                <w:tcPr>
                  <w:tcW w:w="3861" w:type="dxa"/>
                  <w:shd w:val="clear" w:color="auto" w:fill="AEAAAA" w:themeFill="background2" w:themeFillShade="BF"/>
                </w:tcPr>
                <w:p w14:paraId="14791FD9"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r w:rsidR="003042F0" w:rsidRPr="00EE7DB0" w14:paraId="4082A2CA" w14:textId="77777777" w:rsidTr="003146FA">
              <w:tc>
                <w:tcPr>
                  <w:tcW w:w="1056" w:type="dxa"/>
                </w:tcPr>
                <w:p w14:paraId="511D1402"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rPr>
                    <w:t>0010</w:t>
                  </w:r>
                </w:p>
              </w:tc>
              <w:tc>
                <w:tcPr>
                  <w:tcW w:w="3861" w:type="dxa"/>
                </w:tcPr>
                <w:p w14:paraId="6395720E" w14:textId="77777777" w:rsidR="003042F0" w:rsidRPr="00A24080" w:rsidRDefault="003042F0"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Luna 3</w:t>
                  </w:r>
                </w:p>
                <w:p w14:paraId="77458169"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lang w:val="it-IT"/>
                    </w:rPr>
                    <w:t>Datele din ultima zi a celei de a treia luni a trimestrului la care se referă raportul.</w:t>
                  </w:r>
                </w:p>
              </w:tc>
            </w:tr>
          </w:tbl>
          <w:p w14:paraId="15F7C224" w14:textId="77777777" w:rsidR="003042F0" w:rsidRPr="00A24080" w:rsidRDefault="003042F0" w:rsidP="0028208B">
            <w:pPr>
              <w:ind w:right="90"/>
              <w:jc w:val="both"/>
              <w:rPr>
                <w:sz w:val="22"/>
                <w:szCs w:val="22"/>
                <w:lang w:val="ro-RO"/>
              </w:rPr>
            </w:pPr>
          </w:p>
        </w:tc>
        <w:tc>
          <w:tcPr>
            <w:tcW w:w="1418" w:type="dxa"/>
          </w:tcPr>
          <w:p w14:paraId="5CDF8A16" w14:textId="0784FA67"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6C151E0" w14:textId="77777777" w:rsidR="003042F0" w:rsidRPr="00A24080" w:rsidRDefault="003042F0" w:rsidP="0028208B">
            <w:pPr>
              <w:jc w:val="both"/>
              <w:rPr>
                <w:bCs/>
                <w:sz w:val="22"/>
                <w:szCs w:val="22"/>
                <w:lang w:val="ro-RO"/>
              </w:rPr>
            </w:pPr>
          </w:p>
        </w:tc>
      </w:tr>
      <w:tr w:rsidR="003042F0" w:rsidRPr="00A24080" w14:paraId="2E44C02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3042F0" w:rsidRPr="00EE7DB0" w14:paraId="5F2511BC" w14:textId="77777777" w:rsidTr="003042F0">
              <w:tc>
                <w:tcPr>
                  <w:tcW w:w="1056" w:type="dxa"/>
                </w:tcPr>
                <w:p w14:paraId="728CB612" w14:textId="6634E9DE"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rPr>
                    <w:t>0020</w:t>
                  </w:r>
                </w:p>
              </w:tc>
              <w:tc>
                <w:tcPr>
                  <w:tcW w:w="3861" w:type="dxa"/>
                </w:tcPr>
                <w:p w14:paraId="16FCC54A" w14:textId="77777777" w:rsidR="003042F0" w:rsidRPr="00A24080" w:rsidRDefault="003042F0"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Luna 2</w:t>
                  </w:r>
                </w:p>
                <w:p w14:paraId="1B31C37B" w14:textId="7A2960FA"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lang w:val="it-IT"/>
                    </w:rPr>
                    <w:t>Datele din ultima zi a celei de a doua luni a trimestrului la care se referă raportul.</w:t>
                  </w:r>
                </w:p>
              </w:tc>
            </w:tr>
          </w:tbl>
          <w:p w14:paraId="6332A45B" w14:textId="77777777" w:rsidR="003042F0" w:rsidRPr="00A24080" w:rsidRDefault="003042F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3042F0" w:rsidRPr="00EE7DB0" w14:paraId="4CBCA00E" w14:textId="77777777" w:rsidTr="003146FA">
              <w:tc>
                <w:tcPr>
                  <w:tcW w:w="1056" w:type="dxa"/>
                </w:tcPr>
                <w:p w14:paraId="6EABECC8"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rPr>
                    <w:t>0020</w:t>
                  </w:r>
                </w:p>
              </w:tc>
              <w:tc>
                <w:tcPr>
                  <w:tcW w:w="3861" w:type="dxa"/>
                </w:tcPr>
                <w:p w14:paraId="54A7A6D9" w14:textId="77777777" w:rsidR="003042F0" w:rsidRPr="00A24080" w:rsidRDefault="003042F0"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Luna 2</w:t>
                  </w:r>
                </w:p>
                <w:p w14:paraId="3EB8A5C7"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lang w:val="it-IT"/>
                    </w:rPr>
                    <w:t>Datele din ultima zi a celei de a doua luni a trimestrului la care se referă raportul.</w:t>
                  </w:r>
                </w:p>
              </w:tc>
            </w:tr>
          </w:tbl>
          <w:p w14:paraId="28D81CBD" w14:textId="77777777" w:rsidR="003042F0" w:rsidRPr="00A24080" w:rsidRDefault="003042F0" w:rsidP="0028208B">
            <w:pPr>
              <w:ind w:right="90"/>
              <w:jc w:val="both"/>
              <w:rPr>
                <w:sz w:val="22"/>
                <w:szCs w:val="22"/>
                <w:lang w:val="ro-RO"/>
              </w:rPr>
            </w:pPr>
          </w:p>
        </w:tc>
        <w:tc>
          <w:tcPr>
            <w:tcW w:w="1418" w:type="dxa"/>
          </w:tcPr>
          <w:p w14:paraId="05D344CC" w14:textId="09311B14"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502FA30" w14:textId="77777777" w:rsidR="003042F0" w:rsidRPr="00A24080" w:rsidRDefault="003042F0" w:rsidP="0028208B">
            <w:pPr>
              <w:jc w:val="both"/>
              <w:rPr>
                <w:bCs/>
                <w:sz w:val="22"/>
                <w:szCs w:val="22"/>
                <w:lang w:val="ro-RO"/>
              </w:rPr>
            </w:pPr>
          </w:p>
        </w:tc>
      </w:tr>
      <w:tr w:rsidR="003042F0" w:rsidRPr="00A24080" w14:paraId="1C777B9F"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3042F0" w:rsidRPr="00EE7DB0" w14:paraId="27174581" w14:textId="77777777" w:rsidTr="003146FA">
              <w:tc>
                <w:tcPr>
                  <w:tcW w:w="1056" w:type="dxa"/>
                </w:tcPr>
                <w:p w14:paraId="71E0D079" w14:textId="7BE39B54"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65CAEB56" w14:textId="77777777" w:rsidR="003042F0" w:rsidRPr="00A24080" w:rsidRDefault="003042F0"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Luna 1</w:t>
                  </w:r>
                </w:p>
                <w:p w14:paraId="58AAAF63" w14:textId="34B32BF8"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lang w:val="it-IT"/>
                    </w:rPr>
                    <w:t>Datele din ultima zi a primei luni a trimestrului la care se referă raportul.</w:t>
                  </w:r>
                </w:p>
              </w:tc>
            </w:tr>
          </w:tbl>
          <w:p w14:paraId="2C7B84C7" w14:textId="77777777" w:rsidR="003042F0" w:rsidRPr="00A24080" w:rsidRDefault="003042F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3042F0" w:rsidRPr="00EE7DB0" w14:paraId="114A14DA" w14:textId="77777777" w:rsidTr="003146FA">
              <w:tc>
                <w:tcPr>
                  <w:tcW w:w="1056" w:type="dxa"/>
                </w:tcPr>
                <w:p w14:paraId="7B550DFA"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0906284F" w14:textId="77777777" w:rsidR="003042F0" w:rsidRPr="00A24080" w:rsidRDefault="003042F0"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Luna 1</w:t>
                  </w:r>
                </w:p>
                <w:p w14:paraId="4C45152C" w14:textId="77777777" w:rsidR="003042F0" w:rsidRPr="00A24080" w:rsidRDefault="003042F0" w:rsidP="0028208B">
                  <w:pPr>
                    <w:framePr w:hSpace="180" w:wrap="around" w:vAnchor="text" w:hAnchor="text" w:x="-612" w:y="1"/>
                    <w:ind w:right="90"/>
                    <w:suppressOverlap/>
                    <w:jc w:val="both"/>
                    <w:rPr>
                      <w:sz w:val="22"/>
                      <w:szCs w:val="22"/>
                      <w:lang w:val="ro-RO"/>
                    </w:rPr>
                  </w:pPr>
                  <w:r w:rsidRPr="00A24080">
                    <w:rPr>
                      <w:sz w:val="22"/>
                      <w:szCs w:val="22"/>
                      <w:lang w:val="it-IT"/>
                    </w:rPr>
                    <w:t>Datele din ultima zi a primei luni a trimestrului la care se referă raportul.</w:t>
                  </w:r>
                </w:p>
              </w:tc>
            </w:tr>
          </w:tbl>
          <w:p w14:paraId="19A19412" w14:textId="77777777" w:rsidR="003042F0" w:rsidRPr="00A24080" w:rsidRDefault="003042F0" w:rsidP="0028208B">
            <w:pPr>
              <w:ind w:right="90"/>
              <w:jc w:val="both"/>
              <w:rPr>
                <w:sz w:val="22"/>
                <w:szCs w:val="22"/>
                <w:lang w:val="ro-RO"/>
              </w:rPr>
            </w:pPr>
          </w:p>
        </w:tc>
        <w:tc>
          <w:tcPr>
            <w:tcW w:w="1418" w:type="dxa"/>
          </w:tcPr>
          <w:p w14:paraId="66BA3ED8" w14:textId="01F18ECB" w:rsidR="003042F0"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209C92D" w14:textId="77777777" w:rsidR="003042F0" w:rsidRPr="00A24080" w:rsidRDefault="003042F0" w:rsidP="0028208B">
            <w:pPr>
              <w:jc w:val="both"/>
              <w:rPr>
                <w:bCs/>
                <w:sz w:val="22"/>
                <w:szCs w:val="22"/>
                <w:lang w:val="ro-RO"/>
              </w:rPr>
            </w:pPr>
          </w:p>
        </w:tc>
      </w:tr>
      <w:tr w:rsidR="003042F0" w:rsidRPr="00A24080" w14:paraId="496B347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3042F0" w:rsidRPr="00A24080" w14:paraId="33164A5A" w14:textId="77777777" w:rsidTr="003146FA">
              <w:tc>
                <w:tcPr>
                  <w:tcW w:w="1056" w:type="dxa"/>
                  <w:shd w:val="clear" w:color="auto" w:fill="BFBFBF" w:themeFill="background1" w:themeFillShade="BF"/>
                </w:tcPr>
                <w:p w14:paraId="6822DD9A" w14:textId="7929DB0B" w:rsidR="003042F0" w:rsidRPr="00A24080" w:rsidRDefault="003042F0" w:rsidP="0028208B">
                  <w:pPr>
                    <w:framePr w:hSpace="180" w:wrap="around" w:vAnchor="text" w:hAnchor="text" w:x="-612" w:y="1"/>
                    <w:ind w:right="90"/>
                    <w:suppressOverlap/>
                    <w:jc w:val="both"/>
                    <w:rPr>
                      <w:sz w:val="22"/>
                      <w:szCs w:val="22"/>
                    </w:rPr>
                  </w:pPr>
                  <w:r w:rsidRPr="00A24080">
                    <w:rPr>
                      <w:b/>
                      <w:sz w:val="22"/>
                      <w:szCs w:val="22"/>
                    </w:rPr>
                    <w:t>Coloană</w:t>
                  </w:r>
                </w:p>
              </w:tc>
              <w:tc>
                <w:tcPr>
                  <w:tcW w:w="3861" w:type="dxa"/>
                  <w:shd w:val="clear" w:color="auto" w:fill="BFBFBF" w:themeFill="background1" w:themeFillShade="BF"/>
                </w:tcPr>
                <w:p w14:paraId="1C9C4BD7" w14:textId="55C5204B" w:rsidR="003042F0" w:rsidRPr="00A24080" w:rsidRDefault="003042F0" w:rsidP="0028208B">
                  <w:pPr>
                    <w:framePr w:hSpace="180" w:wrap="around" w:vAnchor="text" w:hAnchor="text" w:x="-612" w:y="1"/>
                    <w:ind w:right="90"/>
                    <w:suppressOverlap/>
                    <w:jc w:val="both"/>
                    <w:rPr>
                      <w:sz w:val="22"/>
                      <w:szCs w:val="22"/>
                    </w:rPr>
                  </w:pPr>
                  <w:r w:rsidRPr="00A24080">
                    <w:rPr>
                      <w:b/>
                      <w:sz w:val="22"/>
                      <w:szCs w:val="22"/>
                    </w:rPr>
                    <w:t>Referințe juridice și instrucțiuni</w:t>
                  </w:r>
                </w:p>
              </w:tc>
            </w:tr>
            <w:tr w:rsidR="008703D5" w:rsidRPr="00EE7DB0" w14:paraId="32144E8F" w14:textId="77777777" w:rsidTr="003042F0">
              <w:tc>
                <w:tcPr>
                  <w:tcW w:w="1056" w:type="dxa"/>
                </w:tcPr>
                <w:p w14:paraId="792F30F7" w14:textId="5EA1E21A" w:rsidR="008703D5" w:rsidRPr="00A24080" w:rsidRDefault="008703D5" w:rsidP="0028208B">
                  <w:pPr>
                    <w:framePr w:hSpace="180" w:wrap="around" w:vAnchor="text" w:hAnchor="text" w:x="-612" w:y="1"/>
                    <w:ind w:right="90"/>
                    <w:suppressOverlap/>
                    <w:jc w:val="both"/>
                    <w:rPr>
                      <w:sz w:val="22"/>
                      <w:szCs w:val="22"/>
                    </w:rPr>
                  </w:pPr>
                  <w:r w:rsidRPr="00A24080">
                    <w:rPr>
                      <w:sz w:val="22"/>
                      <w:szCs w:val="22"/>
                    </w:rPr>
                    <w:lastRenderedPageBreak/>
                    <w:t>0010</w:t>
                  </w:r>
                </w:p>
              </w:tc>
              <w:tc>
                <w:tcPr>
                  <w:tcW w:w="3861" w:type="dxa"/>
                </w:tcPr>
                <w:p w14:paraId="036BDE29"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Operațiuni bilanțiere și extrabilanțiere care prezintă un risc de piață</w:t>
                  </w:r>
                </w:p>
                <w:p w14:paraId="5C366EC9"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Articolul 325a alineatul (2) din Regulamentul (UE) nr. 575/2013.</w:t>
                  </w:r>
                </w:p>
                <w:p w14:paraId="22765E81" w14:textId="2F44EF16"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Instituțiile raportează valoarea absolută corespunzătoare operațiunilor lor bilanțiere și extrabilanțiere care prezintă un risc de piață, calculată în conformitate cu articolul 325a alineatul (2) din Regulamentul (UE) nr. 575/2013. </w:t>
                  </w:r>
                </w:p>
              </w:tc>
            </w:tr>
          </w:tbl>
          <w:p w14:paraId="1279CCF2" w14:textId="77777777" w:rsidR="003042F0" w:rsidRPr="00A24080" w:rsidRDefault="003042F0" w:rsidP="0028208B">
            <w:pPr>
              <w:ind w:right="90"/>
              <w:jc w:val="both"/>
              <w:rPr>
                <w:sz w:val="22"/>
                <w:szCs w:val="22"/>
                <w:lang w:val="ro-RO"/>
              </w:rPr>
            </w:pPr>
          </w:p>
        </w:tc>
        <w:tc>
          <w:tcPr>
            <w:tcW w:w="5103" w:type="dxa"/>
          </w:tcPr>
          <w:tbl>
            <w:tblPr>
              <w:tblStyle w:val="TableGrid"/>
              <w:tblW w:w="4917" w:type="dxa"/>
              <w:tblLayout w:type="fixed"/>
              <w:tblLook w:val="04A0" w:firstRow="1" w:lastRow="0" w:firstColumn="1" w:lastColumn="0" w:noHBand="0" w:noVBand="1"/>
            </w:tblPr>
            <w:tblGrid>
              <w:gridCol w:w="1056"/>
              <w:gridCol w:w="3861"/>
            </w:tblGrid>
            <w:tr w:rsidR="001A4805" w:rsidRPr="00A24080" w14:paraId="10D004E4" w14:textId="77777777" w:rsidTr="001A4805">
              <w:tc>
                <w:tcPr>
                  <w:tcW w:w="4917" w:type="dxa"/>
                  <w:gridSpan w:val="2"/>
                  <w:shd w:val="clear" w:color="auto" w:fill="BFBFBF" w:themeFill="background1" w:themeFillShade="BF"/>
                </w:tcPr>
                <w:p w14:paraId="009C0EE0" w14:textId="77777777" w:rsidR="001A4805" w:rsidRPr="00A24080" w:rsidRDefault="001A4805" w:rsidP="0028208B">
                  <w:pPr>
                    <w:framePr w:hSpace="180" w:wrap="around" w:vAnchor="text" w:hAnchor="text" w:x="-612" w:y="1"/>
                    <w:ind w:right="90"/>
                    <w:suppressOverlap/>
                    <w:jc w:val="both"/>
                    <w:rPr>
                      <w:sz w:val="22"/>
                      <w:szCs w:val="22"/>
                    </w:rPr>
                  </w:pPr>
                  <w:r w:rsidRPr="00A24080">
                    <w:rPr>
                      <w:b/>
                      <w:sz w:val="22"/>
                      <w:szCs w:val="22"/>
                    </w:rPr>
                    <w:lastRenderedPageBreak/>
                    <w:t>Coloană</w:t>
                  </w:r>
                </w:p>
                <w:p w14:paraId="76255237" w14:textId="678095AF" w:rsidR="001A4805" w:rsidRPr="00A24080" w:rsidRDefault="001A4805" w:rsidP="0028208B">
                  <w:pPr>
                    <w:framePr w:hSpace="180" w:wrap="around" w:vAnchor="text" w:hAnchor="text" w:x="-612" w:y="1"/>
                    <w:ind w:right="90"/>
                    <w:suppressOverlap/>
                    <w:jc w:val="both"/>
                    <w:rPr>
                      <w:sz w:val="22"/>
                      <w:szCs w:val="22"/>
                    </w:rPr>
                  </w:pPr>
                </w:p>
              </w:tc>
            </w:tr>
            <w:tr w:rsidR="008703D5" w:rsidRPr="00EE7DB0" w14:paraId="47F56401" w14:textId="77777777" w:rsidTr="001A4805">
              <w:tc>
                <w:tcPr>
                  <w:tcW w:w="1056" w:type="dxa"/>
                </w:tcPr>
                <w:p w14:paraId="17584A84" w14:textId="77777777" w:rsidR="008703D5" w:rsidRPr="00A24080" w:rsidRDefault="008703D5" w:rsidP="0028208B">
                  <w:pPr>
                    <w:framePr w:hSpace="180" w:wrap="around" w:vAnchor="text" w:hAnchor="text" w:x="-612" w:y="1"/>
                    <w:ind w:right="90"/>
                    <w:suppressOverlap/>
                    <w:jc w:val="both"/>
                    <w:rPr>
                      <w:sz w:val="22"/>
                      <w:szCs w:val="22"/>
                    </w:rPr>
                  </w:pPr>
                  <w:r w:rsidRPr="00A24080">
                    <w:rPr>
                      <w:sz w:val="22"/>
                      <w:szCs w:val="22"/>
                    </w:rPr>
                    <w:lastRenderedPageBreak/>
                    <w:t>0010</w:t>
                  </w:r>
                </w:p>
              </w:tc>
              <w:tc>
                <w:tcPr>
                  <w:tcW w:w="3861" w:type="dxa"/>
                </w:tcPr>
                <w:p w14:paraId="312F5975"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Operațiuni bilanțiere și extrabilanțiere care prezintă un risc de piață</w:t>
                  </w:r>
                </w:p>
                <w:p w14:paraId="0087BD7E" w14:textId="22A371D8" w:rsidR="008703D5" w:rsidRPr="00A24080" w:rsidRDefault="003C628B"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Pct.80-82 din Regulamentul nr.XX/2026</w:t>
                  </w:r>
                  <w:r w:rsidR="008703D5" w:rsidRPr="00A24080">
                    <w:rPr>
                      <w:rFonts w:ascii="Times New Roman" w:hAnsi="Times New Roman"/>
                      <w:sz w:val="22"/>
                      <w:szCs w:val="22"/>
                    </w:rPr>
                    <w:t>.</w:t>
                  </w:r>
                </w:p>
                <w:p w14:paraId="727D3208" w14:textId="5B016B9B" w:rsidR="008703D5" w:rsidRPr="00A24080" w:rsidRDefault="00F466E1" w:rsidP="0028208B">
                  <w:pPr>
                    <w:framePr w:hSpace="180" w:wrap="around" w:vAnchor="text" w:hAnchor="text" w:x="-612" w:y="1"/>
                    <w:ind w:right="90"/>
                    <w:suppressOverlap/>
                    <w:jc w:val="both"/>
                    <w:rPr>
                      <w:sz w:val="22"/>
                      <w:szCs w:val="22"/>
                      <w:lang w:val="ro-RO"/>
                    </w:rPr>
                  </w:pPr>
                  <w:r w:rsidRPr="00A24080">
                    <w:rPr>
                      <w:sz w:val="22"/>
                      <w:szCs w:val="22"/>
                      <w:lang w:val="ro-RO"/>
                    </w:rPr>
                    <w:t xml:space="preserve">Băncile </w:t>
                  </w:r>
                  <w:r w:rsidR="008703D5" w:rsidRPr="00A24080">
                    <w:rPr>
                      <w:sz w:val="22"/>
                      <w:szCs w:val="22"/>
                      <w:lang w:val="ro-RO"/>
                    </w:rPr>
                    <w:t xml:space="preserve">raportează valoarea absolută corespunzătoare operațiunilor lor bilanțiere și extrabilanțiere care prezintă un risc de piață, calculată în conformitate cu </w:t>
                  </w:r>
                  <w:r w:rsidR="003C628B" w:rsidRPr="00A24080">
                    <w:rPr>
                      <w:sz w:val="22"/>
                      <w:szCs w:val="22"/>
                      <w:lang w:val="ro-RO"/>
                    </w:rPr>
                    <w:t>pct.80-82 din Regulamentul nr.XX/2026</w:t>
                  </w:r>
                  <w:r w:rsidR="008703D5" w:rsidRPr="00A24080">
                    <w:rPr>
                      <w:sz w:val="22"/>
                      <w:szCs w:val="22"/>
                      <w:lang w:val="ro-RO"/>
                    </w:rPr>
                    <w:t xml:space="preserve">. </w:t>
                  </w:r>
                </w:p>
              </w:tc>
            </w:tr>
          </w:tbl>
          <w:p w14:paraId="65B81064" w14:textId="77777777" w:rsidR="003042F0" w:rsidRPr="00A24080" w:rsidRDefault="003042F0" w:rsidP="0028208B">
            <w:pPr>
              <w:ind w:right="90"/>
              <w:jc w:val="both"/>
              <w:rPr>
                <w:sz w:val="22"/>
                <w:szCs w:val="22"/>
                <w:lang w:val="ro-RO"/>
              </w:rPr>
            </w:pPr>
          </w:p>
        </w:tc>
        <w:tc>
          <w:tcPr>
            <w:tcW w:w="1418" w:type="dxa"/>
          </w:tcPr>
          <w:p w14:paraId="6159BA2C" w14:textId="0AB2EA6F" w:rsidR="003042F0"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A480EC3" w14:textId="77777777" w:rsidR="003042F0" w:rsidRPr="00A24080" w:rsidRDefault="003042F0" w:rsidP="0028208B">
            <w:pPr>
              <w:jc w:val="both"/>
              <w:rPr>
                <w:bCs/>
                <w:sz w:val="22"/>
                <w:szCs w:val="22"/>
                <w:lang w:val="ro-RO"/>
              </w:rPr>
            </w:pPr>
          </w:p>
        </w:tc>
      </w:tr>
      <w:tr w:rsidR="008703D5" w:rsidRPr="00A24080" w14:paraId="0A59462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7457C0EC" w14:textId="77777777" w:rsidTr="003146FA">
              <w:tc>
                <w:tcPr>
                  <w:tcW w:w="1056" w:type="dxa"/>
                </w:tcPr>
                <w:p w14:paraId="42D225DA" w14:textId="719D5F62"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0020-0060</w:t>
                  </w:r>
                </w:p>
              </w:tc>
              <w:tc>
                <w:tcPr>
                  <w:tcW w:w="3861" w:type="dxa"/>
                </w:tcPr>
                <w:p w14:paraId="3D6139D9"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Defalcare în funcție de portofoliul reglementar</w:t>
                  </w:r>
                </w:p>
                <w:p w14:paraId="1302FAAF" w14:textId="55F50E6D"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Operațiunile bilanțiere și extrabilanțiere care prezintă un risc de piață trebuie defalcate pe poziții din portofoliul de tranzacționare și poziții din afara portofoliului de tranzacționare. </w:t>
                  </w:r>
                </w:p>
              </w:tc>
            </w:tr>
          </w:tbl>
          <w:p w14:paraId="01446B1C"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61D9BFEB" w14:textId="77777777" w:rsidTr="003146FA">
              <w:tc>
                <w:tcPr>
                  <w:tcW w:w="1056" w:type="dxa"/>
                </w:tcPr>
                <w:p w14:paraId="0E17E0A5"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0020-0060</w:t>
                  </w:r>
                </w:p>
              </w:tc>
              <w:tc>
                <w:tcPr>
                  <w:tcW w:w="3861" w:type="dxa"/>
                </w:tcPr>
                <w:p w14:paraId="4511D390"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Defalcare în funcție de portofoliul reglementar</w:t>
                  </w:r>
                </w:p>
                <w:p w14:paraId="57EE08F0"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Operațiunile bilanțiere și extrabilanțiere care prezintă un risc de piață trebuie defalcate pe poziții din portofoliul de tranzacționare și poziții din afara portofoliului de tranzacționare. </w:t>
                  </w:r>
                </w:p>
              </w:tc>
            </w:tr>
          </w:tbl>
          <w:p w14:paraId="38CDCD31" w14:textId="77777777" w:rsidR="008703D5" w:rsidRPr="00A24080" w:rsidRDefault="008703D5" w:rsidP="0028208B">
            <w:pPr>
              <w:ind w:right="90"/>
              <w:jc w:val="both"/>
              <w:rPr>
                <w:sz w:val="22"/>
                <w:szCs w:val="22"/>
                <w:lang w:val="ro-RO"/>
              </w:rPr>
            </w:pPr>
          </w:p>
        </w:tc>
        <w:tc>
          <w:tcPr>
            <w:tcW w:w="1418" w:type="dxa"/>
          </w:tcPr>
          <w:p w14:paraId="4A45973C" w14:textId="178FC61E" w:rsidR="008703D5"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AC7B435" w14:textId="77777777" w:rsidR="008703D5" w:rsidRPr="00A24080" w:rsidRDefault="008703D5" w:rsidP="0028208B">
            <w:pPr>
              <w:jc w:val="both"/>
              <w:rPr>
                <w:bCs/>
                <w:sz w:val="22"/>
                <w:szCs w:val="22"/>
                <w:lang w:val="ro-RO"/>
              </w:rPr>
            </w:pPr>
          </w:p>
        </w:tc>
      </w:tr>
      <w:tr w:rsidR="008703D5" w:rsidRPr="00A24080" w14:paraId="4C82B586"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0F53D3CC" w14:textId="77777777" w:rsidTr="003146FA">
              <w:tc>
                <w:tcPr>
                  <w:tcW w:w="1056" w:type="dxa"/>
                </w:tcPr>
                <w:p w14:paraId="65910429" w14:textId="40F61BE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0020-0040</w:t>
                  </w:r>
                </w:p>
              </w:tc>
              <w:tc>
                <w:tcPr>
                  <w:tcW w:w="3861" w:type="dxa"/>
                </w:tcPr>
                <w:p w14:paraId="3C99451C"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Portofoliu de tranzacționare</w:t>
                  </w:r>
                </w:p>
                <w:p w14:paraId="07597E6D" w14:textId="5EFD14FE"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Pozițiile atribuite portofoliului de tranzacționare care sunt incluse în calculul prevăzut la articolul 325a alineatul (2) din Regulamentul (UE) nr. 575/2013.</w:t>
                  </w:r>
                </w:p>
              </w:tc>
            </w:tr>
          </w:tbl>
          <w:p w14:paraId="3E2F6A2C"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4AB6743B" w14:textId="77777777" w:rsidTr="003146FA">
              <w:tc>
                <w:tcPr>
                  <w:tcW w:w="1056" w:type="dxa"/>
                </w:tcPr>
                <w:p w14:paraId="79A48750"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0020-0040</w:t>
                  </w:r>
                </w:p>
              </w:tc>
              <w:tc>
                <w:tcPr>
                  <w:tcW w:w="3861" w:type="dxa"/>
                </w:tcPr>
                <w:p w14:paraId="37E80C50"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Portofoliu de tranzacționare</w:t>
                  </w:r>
                </w:p>
                <w:p w14:paraId="5C2D2377" w14:textId="6089F864"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Pozițiile atribuite portofoliului de tranzacționare care sunt incluse în calculul prevăzut la </w:t>
                  </w:r>
                  <w:r w:rsidR="003C628B" w:rsidRPr="00A24080">
                    <w:rPr>
                      <w:sz w:val="22"/>
                      <w:szCs w:val="22"/>
                      <w:lang w:val="ro-RO"/>
                    </w:rPr>
                    <w:t>pct.80-82 din Regulamentul nr.XX/2026</w:t>
                  </w:r>
                  <w:r w:rsidRPr="00A24080">
                    <w:rPr>
                      <w:sz w:val="22"/>
                      <w:szCs w:val="22"/>
                      <w:lang w:val="ro-RO"/>
                    </w:rPr>
                    <w:t>.</w:t>
                  </w:r>
                </w:p>
              </w:tc>
            </w:tr>
          </w:tbl>
          <w:p w14:paraId="3C08F94B" w14:textId="77777777" w:rsidR="008703D5" w:rsidRPr="00A24080" w:rsidRDefault="008703D5" w:rsidP="0028208B">
            <w:pPr>
              <w:ind w:right="90"/>
              <w:jc w:val="both"/>
              <w:rPr>
                <w:sz w:val="22"/>
                <w:szCs w:val="22"/>
                <w:lang w:val="ro-RO"/>
              </w:rPr>
            </w:pPr>
          </w:p>
        </w:tc>
        <w:tc>
          <w:tcPr>
            <w:tcW w:w="1418" w:type="dxa"/>
          </w:tcPr>
          <w:p w14:paraId="3F508DE2" w14:textId="16A38E39" w:rsidR="008703D5"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05FF690" w14:textId="77777777" w:rsidR="008703D5" w:rsidRPr="00A24080" w:rsidRDefault="008703D5" w:rsidP="0028208B">
            <w:pPr>
              <w:jc w:val="both"/>
              <w:rPr>
                <w:bCs/>
                <w:sz w:val="22"/>
                <w:szCs w:val="22"/>
                <w:lang w:val="ro-RO"/>
              </w:rPr>
            </w:pPr>
          </w:p>
        </w:tc>
      </w:tr>
      <w:tr w:rsidR="008703D5" w:rsidRPr="00A24080" w14:paraId="5D1952E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7D07DBBE" w14:textId="77777777" w:rsidTr="003146FA">
              <w:tc>
                <w:tcPr>
                  <w:tcW w:w="1056" w:type="dxa"/>
                </w:tcPr>
                <w:p w14:paraId="1DF0F56E" w14:textId="2466A250"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3861" w:type="dxa"/>
                </w:tcPr>
                <w:p w14:paraId="106D957B" w14:textId="77777777" w:rsidR="008703D5" w:rsidRPr="00A24080" w:rsidRDefault="008703D5"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din care: activități legate de portofoliul de tranzacționare în sensul articolului 94 din Regulamentul (UE) nr. 575/2013</w:t>
                  </w:r>
                </w:p>
                <w:p w14:paraId="570C4EEC" w14:textId="77777777" w:rsidR="008703D5" w:rsidRPr="00A24080" w:rsidRDefault="008703D5" w:rsidP="0028208B">
                  <w:pPr>
                    <w:pStyle w:val="Tabelleninhalt"/>
                    <w:framePr w:hSpace="180" w:wrap="around" w:vAnchor="text" w:hAnchor="text" w:x="-612" w:y="1"/>
                    <w:spacing w:after="120"/>
                    <w:suppressOverlap/>
                    <w:jc w:val="both"/>
                    <w:rPr>
                      <w:rFonts w:ascii="Times New Roman" w:hAnsi="Times New Roman" w:cs="Times New Roman"/>
                      <w:sz w:val="22"/>
                      <w:szCs w:val="22"/>
                    </w:rPr>
                  </w:pPr>
                  <w:r w:rsidRPr="00A24080">
                    <w:rPr>
                      <w:rFonts w:ascii="Times New Roman" w:hAnsi="Times New Roman"/>
                      <w:sz w:val="22"/>
                      <w:szCs w:val="22"/>
                    </w:rPr>
                    <w:t>Articolul 94 alineatul (3) din Regulamentul (UE) nr. 575/2013.</w:t>
                  </w:r>
                </w:p>
                <w:p w14:paraId="400438E7" w14:textId="0E3C9944"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 xml:space="preserve">Astfel cum se prevede la articolul 94 alineatul (3) litera (b) din Regulamentul (UE) nr. 575/2013, instituțiile raportează valorile de piață din ultima zi a lunii; în cazul în care valorile de piață nu sunt disponibile, valorile juste din aceeași dată sau, atunci când valorile de piață și valorile juste nu sunt disponibile la data respectivă, cea mai recentă valoare de piață sau valoare justă. </w:t>
                  </w:r>
                </w:p>
              </w:tc>
            </w:tr>
          </w:tbl>
          <w:p w14:paraId="44FE2AF8"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665EC846" w14:textId="77777777" w:rsidTr="003146FA">
              <w:tc>
                <w:tcPr>
                  <w:tcW w:w="1056" w:type="dxa"/>
                </w:tcPr>
                <w:p w14:paraId="073312B2"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lastRenderedPageBreak/>
                    <w:t>0030-0040</w:t>
                  </w:r>
                </w:p>
              </w:tc>
              <w:tc>
                <w:tcPr>
                  <w:tcW w:w="3861" w:type="dxa"/>
                </w:tcPr>
                <w:p w14:paraId="4D60F9A6" w14:textId="280B016D" w:rsidR="008703D5" w:rsidRPr="00A24080" w:rsidRDefault="008703D5"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din care: activități legate de portofoliul de tranzacționare în sensul </w:t>
                  </w:r>
                  <w:r w:rsidR="00C53A30" w:rsidRPr="00A24080">
                    <w:rPr>
                      <w:rFonts w:ascii="Times New Roman" w:hAnsi="Times New Roman"/>
                      <w:b/>
                      <w:sz w:val="22"/>
                      <w:szCs w:val="22"/>
                      <w:u w:val="single"/>
                    </w:rPr>
                    <w:t>pct.135-137</w:t>
                  </w:r>
                  <w:r w:rsidR="00C53A30" w:rsidRPr="00A24080">
                    <w:rPr>
                      <w:rFonts w:ascii="Times New Roman" w:hAnsi="Times New Roman"/>
                      <w:b/>
                      <w:sz w:val="22"/>
                      <w:szCs w:val="22"/>
                      <w:u w:val="single"/>
                      <w:vertAlign w:val="superscript"/>
                    </w:rPr>
                    <w:t>3</w:t>
                  </w:r>
                  <w:r w:rsidR="00C53A30" w:rsidRPr="00A24080">
                    <w:rPr>
                      <w:rFonts w:ascii="Times New Roman" w:hAnsi="Times New Roman"/>
                      <w:b/>
                      <w:sz w:val="22"/>
                      <w:szCs w:val="22"/>
                      <w:u w:val="single"/>
                    </w:rPr>
                    <w:t xml:space="preserve"> din Regulamentul nr.109/2018</w:t>
                  </w:r>
                </w:p>
                <w:p w14:paraId="1C563DFB" w14:textId="4942780E" w:rsidR="008703D5" w:rsidRPr="00A24080" w:rsidRDefault="00C53A30" w:rsidP="0028208B">
                  <w:pPr>
                    <w:pStyle w:val="Tabelleninhalt"/>
                    <w:framePr w:hSpace="180" w:wrap="around" w:vAnchor="text" w:hAnchor="text" w:x="-612" w:y="1"/>
                    <w:spacing w:after="120"/>
                    <w:suppressOverlap/>
                    <w:jc w:val="both"/>
                    <w:rPr>
                      <w:rFonts w:ascii="Times New Roman" w:hAnsi="Times New Roman" w:cs="Times New Roman"/>
                      <w:sz w:val="22"/>
                      <w:szCs w:val="22"/>
                    </w:rPr>
                  </w:pPr>
                  <w:r w:rsidRPr="00A24080">
                    <w:rPr>
                      <w:rFonts w:ascii="Times New Roman" w:hAnsi="Times New Roman"/>
                      <w:sz w:val="22"/>
                      <w:szCs w:val="22"/>
                    </w:rPr>
                    <w:t>Pct.136 din Regulamentul nr.109/2018</w:t>
                  </w:r>
                  <w:r w:rsidR="008703D5" w:rsidRPr="00A24080">
                    <w:rPr>
                      <w:rFonts w:ascii="Times New Roman" w:hAnsi="Times New Roman"/>
                      <w:sz w:val="22"/>
                      <w:szCs w:val="22"/>
                    </w:rPr>
                    <w:t>.</w:t>
                  </w:r>
                </w:p>
                <w:p w14:paraId="33949682" w14:textId="4982FE8D"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Astfel cum se prevede la </w:t>
                  </w:r>
                  <w:r w:rsidR="00B70036" w:rsidRPr="00A24080">
                    <w:rPr>
                      <w:sz w:val="22"/>
                      <w:szCs w:val="22"/>
                      <w:lang w:val="ro-RO"/>
                    </w:rPr>
                    <w:t>pct.136 subpct.2) din Regulamentul nr.109/2018</w:t>
                  </w:r>
                  <w:r w:rsidRPr="00A24080">
                    <w:rPr>
                      <w:sz w:val="22"/>
                      <w:szCs w:val="22"/>
                      <w:lang w:val="ro-RO"/>
                    </w:rPr>
                    <w:t xml:space="preserve">, </w:t>
                  </w:r>
                  <w:r w:rsidR="00F466E1" w:rsidRPr="00A24080">
                    <w:rPr>
                      <w:sz w:val="22"/>
                      <w:szCs w:val="22"/>
                      <w:lang w:val="ro-RO"/>
                    </w:rPr>
                    <w:t xml:space="preserve">băncile </w:t>
                  </w:r>
                  <w:r w:rsidRPr="00A24080">
                    <w:rPr>
                      <w:sz w:val="22"/>
                      <w:szCs w:val="22"/>
                      <w:lang w:val="ro-RO"/>
                    </w:rPr>
                    <w:t xml:space="preserve">raportează valorile </w:t>
                  </w:r>
                  <w:r w:rsidRPr="00A24080">
                    <w:rPr>
                      <w:sz w:val="22"/>
                      <w:szCs w:val="22"/>
                      <w:lang w:val="ro-RO"/>
                    </w:rPr>
                    <w:lastRenderedPageBreak/>
                    <w:t xml:space="preserve">de piață din ultima zi a lunii; în cazul în care valorile de piață nu sunt disponibile, valorile juste din aceeași dată sau, atunci când valorile de piață și valorile juste nu sunt disponibile la data respectivă, cea mai recentă valoare de piață sau valoare justă. </w:t>
                  </w:r>
                </w:p>
              </w:tc>
            </w:tr>
          </w:tbl>
          <w:p w14:paraId="65C3525E" w14:textId="77777777" w:rsidR="008703D5" w:rsidRPr="00A24080" w:rsidRDefault="008703D5" w:rsidP="0028208B">
            <w:pPr>
              <w:ind w:right="90"/>
              <w:jc w:val="both"/>
              <w:rPr>
                <w:sz w:val="22"/>
                <w:szCs w:val="22"/>
                <w:lang w:val="ro-RO"/>
              </w:rPr>
            </w:pPr>
          </w:p>
        </w:tc>
        <w:tc>
          <w:tcPr>
            <w:tcW w:w="1418" w:type="dxa"/>
          </w:tcPr>
          <w:p w14:paraId="113BDE08" w14:textId="174EDF57" w:rsidR="008703D5"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0C19260" w14:textId="77777777" w:rsidR="008703D5" w:rsidRPr="00A24080" w:rsidRDefault="008703D5" w:rsidP="0028208B">
            <w:pPr>
              <w:jc w:val="both"/>
              <w:rPr>
                <w:bCs/>
                <w:sz w:val="22"/>
                <w:szCs w:val="22"/>
                <w:lang w:val="ro-RO"/>
              </w:rPr>
            </w:pPr>
          </w:p>
        </w:tc>
      </w:tr>
      <w:tr w:rsidR="008703D5" w:rsidRPr="00A24080" w14:paraId="05F0C328"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4641BA93" w14:textId="77777777" w:rsidTr="003146FA">
              <w:tc>
                <w:tcPr>
                  <w:tcW w:w="1056" w:type="dxa"/>
                </w:tcPr>
                <w:p w14:paraId="31860275" w14:textId="33A551F5"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6845F560" w14:textId="77777777" w:rsidR="008703D5" w:rsidRPr="00A24080" w:rsidRDefault="008703D5"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Total</w:t>
                  </w:r>
                </w:p>
                <w:p w14:paraId="5EE347C1" w14:textId="77777777" w:rsidR="008703D5" w:rsidRPr="00A24080" w:rsidRDefault="008703D5" w:rsidP="0028208B">
                  <w:pPr>
                    <w:pStyle w:val="Tabelleninhalt"/>
                    <w:framePr w:hSpace="180" w:wrap="around" w:vAnchor="text" w:hAnchor="text" w:x="-612" w:y="1"/>
                    <w:spacing w:after="120"/>
                    <w:suppressOverlap/>
                    <w:jc w:val="both"/>
                    <w:rPr>
                      <w:rFonts w:ascii="Times New Roman" w:hAnsi="Times New Roman" w:cs="Times New Roman"/>
                      <w:sz w:val="22"/>
                      <w:szCs w:val="22"/>
                    </w:rPr>
                  </w:pPr>
                  <w:r w:rsidRPr="00A24080">
                    <w:rPr>
                      <w:rFonts w:ascii="Times New Roman" w:hAnsi="Times New Roman"/>
                      <w:sz w:val="22"/>
                      <w:szCs w:val="22"/>
                    </w:rPr>
                    <w:t>Articolul 94 alineatul (3) din Regulamentul (UE) nr. 575/2013.</w:t>
                  </w:r>
                </w:p>
                <w:p w14:paraId="7D1914D9" w14:textId="504495D2"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Valoarea absolută a pozițiilor lungi și scurte se adună în conformitate cu articolul 94 alineatul (3) litera (c) din Regulamentul (UE) nr. 575/2013.</w:t>
                  </w:r>
                </w:p>
              </w:tc>
            </w:tr>
          </w:tbl>
          <w:p w14:paraId="61D81F15"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532E3537" w14:textId="77777777" w:rsidTr="003146FA">
              <w:tc>
                <w:tcPr>
                  <w:tcW w:w="1056" w:type="dxa"/>
                </w:tcPr>
                <w:p w14:paraId="5D361778"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7F2F41F6" w14:textId="77777777" w:rsidR="008703D5" w:rsidRPr="00A24080" w:rsidRDefault="008703D5" w:rsidP="0028208B">
                  <w:pPr>
                    <w:pStyle w:val="Tabelleninhalt"/>
                    <w:framePr w:hSpace="180" w:wrap="around" w:vAnchor="text" w:hAnchor="text" w:x="-612" w:y="1"/>
                    <w:spacing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Total</w:t>
                  </w:r>
                </w:p>
                <w:p w14:paraId="530285BC" w14:textId="416C42A3" w:rsidR="008703D5" w:rsidRPr="00A24080" w:rsidRDefault="00B70036" w:rsidP="0028208B">
                  <w:pPr>
                    <w:pStyle w:val="Tabelleninhalt"/>
                    <w:framePr w:hSpace="180" w:wrap="around" w:vAnchor="text" w:hAnchor="text" w:x="-612" w:y="1"/>
                    <w:spacing w:after="120"/>
                    <w:suppressOverlap/>
                    <w:jc w:val="both"/>
                    <w:rPr>
                      <w:rFonts w:ascii="Times New Roman" w:hAnsi="Times New Roman" w:cs="Times New Roman"/>
                      <w:sz w:val="22"/>
                      <w:szCs w:val="22"/>
                    </w:rPr>
                  </w:pPr>
                  <w:r w:rsidRPr="00A24080">
                    <w:rPr>
                      <w:rFonts w:ascii="Times New Roman" w:hAnsi="Times New Roman"/>
                      <w:sz w:val="22"/>
                      <w:szCs w:val="22"/>
                    </w:rPr>
                    <w:t>Pct.136 din Regulamentul nr.109/2018</w:t>
                  </w:r>
                  <w:r w:rsidR="008703D5" w:rsidRPr="00A24080">
                    <w:rPr>
                      <w:rFonts w:ascii="Times New Roman" w:hAnsi="Times New Roman"/>
                      <w:sz w:val="22"/>
                      <w:szCs w:val="22"/>
                    </w:rPr>
                    <w:t>.</w:t>
                  </w:r>
                </w:p>
                <w:p w14:paraId="22D15172" w14:textId="714531C4"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Valoarea absolută a pozițiilor lungi și scurte se adună în conformitate cu </w:t>
                  </w:r>
                  <w:r w:rsidR="00B70036" w:rsidRPr="00A24080">
                    <w:rPr>
                      <w:sz w:val="22"/>
                      <w:szCs w:val="22"/>
                      <w:lang w:val="ro-RO"/>
                    </w:rPr>
                    <w:t>pct.136 subpct.3) din Regulamentul nr.109/2018</w:t>
                  </w:r>
                  <w:r w:rsidRPr="00A24080">
                    <w:rPr>
                      <w:sz w:val="22"/>
                      <w:szCs w:val="22"/>
                      <w:lang w:val="ro-RO"/>
                    </w:rPr>
                    <w:t>.</w:t>
                  </w:r>
                </w:p>
              </w:tc>
            </w:tr>
          </w:tbl>
          <w:p w14:paraId="3B2D5859" w14:textId="77777777" w:rsidR="008703D5" w:rsidRPr="00A24080" w:rsidRDefault="008703D5" w:rsidP="0028208B">
            <w:pPr>
              <w:ind w:right="90"/>
              <w:jc w:val="both"/>
              <w:rPr>
                <w:sz w:val="22"/>
                <w:szCs w:val="22"/>
                <w:lang w:val="ro-RO"/>
              </w:rPr>
            </w:pPr>
          </w:p>
        </w:tc>
        <w:tc>
          <w:tcPr>
            <w:tcW w:w="1418" w:type="dxa"/>
          </w:tcPr>
          <w:p w14:paraId="55A32180" w14:textId="3E8E6AF8" w:rsidR="008703D5"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E491D2A" w14:textId="77777777" w:rsidR="008703D5" w:rsidRPr="00A24080" w:rsidRDefault="008703D5" w:rsidP="0028208B">
            <w:pPr>
              <w:jc w:val="both"/>
              <w:rPr>
                <w:bCs/>
                <w:sz w:val="22"/>
                <w:szCs w:val="22"/>
                <w:lang w:val="ro-RO"/>
              </w:rPr>
            </w:pPr>
          </w:p>
        </w:tc>
      </w:tr>
      <w:tr w:rsidR="008703D5" w:rsidRPr="00A24080" w14:paraId="39C2FEF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18F48D6D" w14:textId="77777777" w:rsidTr="003146FA">
              <w:tc>
                <w:tcPr>
                  <w:tcW w:w="1056" w:type="dxa"/>
                </w:tcPr>
                <w:p w14:paraId="629F690D" w14:textId="64EE706E"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tcPr>
                <w:p w14:paraId="2A5C068D"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în % din totalul activelor</w:t>
                  </w:r>
                </w:p>
                <w:p w14:paraId="277419DA"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Articolul 94 alineatul (1) litera (a) din Regulamentul (UE) nr. 575/2013.</w:t>
                  </w:r>
                </w:p>
                <w:p w14:paraId="188DF4C9" w14:textId="2C1096BD"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Dimensiunea portofoliului de tranzacționare în sensul articolului 94 din Regulamentul (UE) nr. 575/2013 se exprimă ca procent din totalul activelor.</w:t>
                  </w:r>
                </w:p>
              </w:tc>
            </w:tr>
          </w:tbl>
          <w:p w14:paraId="73966181"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A24080" w14:paraId="69BD4C11" w14:textId="77777777" w:rsidTr="003146FA">
              <w:tc>
                <w:tcPr>
                  <w:tcW w:w="1056" w:type="dxa"/>
                </w:tcPr>
                <w:p w14:paraId="149D5CE9"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tcPr>
                <w:p w14:paraId="74021834"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în % din totalul activelor</w:t>
                  </w:r>
                </w:p>
                <w:p w14:paraId="0F6780A0" w14:textId="06932225" w:rsidR="008703D5" w:rsidRPr="00A24080" w:rsidRDefault="00B70036"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lang w:val="en-US"/>
                    </w:rPr>
                    <w:t>Pct.136 subpct.1) din Regulamentul nr.109/2018</w:t>
                  </w:r>
                  <w:r w:rsidR="008703D5" w:rsidRPr="00A24080">
                    <w:rPr>
                      <w:rFonts w:ascii="Times New Roman" w:hAnsi="Times New Roman"/>
                      <w:sz w:val="22"/>
                      <w:szCs w:val="22"/>
                    </w:rPr>
                    <w:t>.</w:t>
                  </w:r>
                </w:p>
                <w:p w14:paraId="10BE25D0" w14:textId="55919552"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 xml:space="preserve">Dimensiunea portofoliului de tranzacționare în sensul </w:t>
                  </w:r>
                  <w:r w:rsidR="00C53A30" w:rsidRPr="00A24080">
                    <w:rPr>
                      <w:bCs/>
                      <w:sz w:val="22"/>
                      <w:szCs w:val="22"/>
                    </w:rPr>
                    <w:t>pct.135-137</w:t>
                  </w:r>
                  <w:r w:rsidR="00C53A30" w:rsidRPr="00A24080">
                    <w:rPr>
                      <w:bCs/>
                      <w:sz w:val="22"/>
                      <w:szCs w:val="22"/>
                      <w:vertAlign w:val="superscript"/>
                    </w:rPr>
                    <w:t>3</w:t>
                  </w:r>
                  <w:r w:rsidR="00C53A30" w:rsidRPr="00A24080">
                    <w:rPr>
                      <w:bCs/>
                      <w:sz w:val="22"/>
                      <w:szCs w:val="22"/>
                    </w:rPr>
                    <w:t xml:space="preserve"> din Regulamentul nr.109/2018</w:t>
                  </w:r>
                  <w:r w:rsidR="00C53A30" w:rsidRPr="00A24080">
                    <w:rPr>
                      <w:sz w:val="22"/>
                      <w:szCs w:val="22"/>
                      <w:lang w:val="ro-RO"/>
                    </w:rPr>
                    <w:t xml:space="preserve">  </w:t>
                  </w:r>
                  <w:r w:rsidRPr="00A24080">
                    <w:rPr>
                      <w:sz w:val="22"/>
                      <w:szCs w:val="22"/>
                      <w:lang w:val="ro-RO"/>
                    </w:rPr>
                    <w:t>se exprimă ca procent din totalul activelor.</w:t>
                  </w:r>
                </w:p>
              </w:tc>
            </w:tr>
          </w:tbl>
          <w:p w14:paraId="6B279117" w14:textId="77777777" w:rsidR="008703D5" w:rsidRPr="00A24080" w:rsidRDefault="008703D5" w:rsidP="0028208B">
            <w:pPr>
              <w:ind w:right="90"/>
              <w:jc w:val="both"/>
              <w:rPr>
                <w:sz w:val="22"/>
                <w:szCs w:val="22"/>
                <w:lang w:val="ro-RO"/>
              </w:rPr>
            </w:pPr>
          </w:p>
        </w:tc>
        <w:tc>
          <w:tcPr>
            <w:tcW w:w="1418" w:type="dxa"/>
          </w:tcPr>
          <w:p w14:paraId="67F609AD" w14:textId="4FB18074" w:rsidR="008703D5"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4DE2875" w14:textId="77777777" w:rsidR="008703D5" w:rsidRPr="00A24080" w:rsidRDefault="008703D5" w:rsidP="0028208B">
            <w:pPr>
              <w:jc w:val="both"/>
              <w:rPr>
                <w:bCs/>
                <w:sz w:val="22"/>
                <w:szCs w:val="22"/>
                <w:lang w:val="ro-RO"/>
              </w:rPr>
            </w:pPr>
          </w:p>
        </w:tc>
      </w:tr>
      <w:tr w:rsidR="008703D5" w:rsidRPr="00A24080" w14:paraId="0795C0F0"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A24080" w14:paraId="5F6BA233" w14:textId="77777777" w:rsidTr="003146FA">
              <w:tc>
                <w:tcPr>
                  <w:tcW w:w="1056" w:type="dxa"/>
                </w:tcPr>
                <w:p w14:paraId="78E2503B" w14:textId="3E9C12B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3861" w:type="dxa"/>
                </w:tcPr>
                <w:p w14:paraId="0486D2A5"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 xml:space="preserve">Poziții din afara portofoliului de tranzacționare </w:t>
                  </w:r>
                </w:p>
                <w:p w14:paraId="434BC774"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 xml:space="preserve">Pozițiile încadrate în afara portofoliului de tranzacționare care sunt incluse în calculul prevăzut la articolul 325a </w:t>
                  </w:r>
                  <w:r w:rsidRPr="00A24080">
                    <w:rPr>
                      <w:rFonts w:ascii="Times New Roman" w:hAnsi="Times New Roman"/>
                      <w:sz w:val="22"/>
                      <w:szCs w:val="22"/>
                    </w:rPr>
                    <w:lastRenderedPageBreak/>
                    <w:t>alineatul (2) din Regulamentul (UE) nr. 575/2013.</w:t>
                  </w:r>
                </w:p>
                <w:p w14:paraId="4D2F79DE"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Pozițiile din afara portofoliului de tranzacționare care prezintă un risc de piață se raportează de către instituții defalcate pe poziții care prezintă un risc de schimb valutar și poziții care prezintă un risc de marfă.</w:t>
                  </w:r>
                </w:p>
                <w:p w14:paraId="1D2CEC22" w14:textId="3163137D"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 xml:space="preserve">Cuantumurile relevante se determină în conformitate cu articolul 325a alineatul (2) literele (d) și (e) din Regulamentul (UE) nr. 575/2013. </w:t>
                  </w:r>
                </w:p>
              </w:tc>
            </w:tr>
          </w:tbl>
          <w:p w14:paraId="0A101AAC"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A24080" w14:paraId="623E3109" w14:textId="77777777" w:rsidTr="003146FA">
              <w:tc>
                <w:tcPr>
                  <w:tcW w:w="1056" w:type="dxa"/>
                </w:tcPr>
                <w:p w14:paraId="1E1C0829"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lastRenderedPageBreak/>
                    <w:t>0050-0060</w:t>
                  </w:r>
                </w:p>
              </w:tc>
              <w:tc>
                <w:tcPr>
                  <w:tcW w:w="3861" w:type="dxa"/>
                </w:tcPr>
                <w:p w14:paraId="3471DA85"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 xml:space="preserve">Poziții din afara portofoliului de tranzacționare </w:t>
                  </w:r>
                </w:p>
                <w:p w14:paraId="0ED9010D" w14:textId="4D1A4740"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 xml:space="preserve">Pozițiile încadrate în afara portofoliului de tranzacționare care sunt incluse în calculul prevăzut la </w:t>
                  </w:r>
                  <w:r w:rsidR="003C628B" w:rsidRPr="00A24080">
                    <w:rPr>
                      <w:rFonts w:ascii="Times New Roman" w:hAnsi="Times New Roman"/>
                      <w:sz w:val="22"/>
                      <w:szCs w:val="22"/>
                    </w:rPr>
                    <w:t>pct.80-82 din Regulamentul nr.XX/2026</w:t>
                  </w:r>
                  <w:r w:rsidRPr="00A24080">
                    <w:rPr>
                      <w:rFonts w:ascii="Times New Roman" w:hAnsi="Times New Roman"/>
                      <w:sz w:val="22"/>
                      <w:szCs w:val="22"/>
                    </w:rPr>
                    <w:t>.</w:t>
                  </w:r>
                </w:p>
                <w:p w14:paraId="360A164E" w14:textId="042C41A3"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lastRenderedPageBreak/>
                    <w:t xml:space="preserve">Pozițiile din afara portofoliului de tranzacționare care prezintă un risc de piață se raportează de către </w:t>
                  </w:r>
                  <w:r w:rsidR="00F466E1" w:rsidRPr="00A24080">
                    <w:rPr>
                      <w:rFonts w:ascii="Times New Roman" w:hAnsi="Times New Roman"/>
                      <w:sz w:val="22"/>
                      <w:szCs w:val="22"/>
                    </w:rPr>
                    <w:t xml:space="preserve">bănci </w:t>
                  </w:r>
                  <w:r w:rsidRPr="00A24080">
                    <w:rPr>
                      <w:rFonts w:ascii="Times New Roman" w:hAnsi="Times New Roman"/>
                      <w:sz w:val="22"/>
                      <w:szCs w:val="22"/>
                    </w:rPr>
                    <w:t>defalcate pe poziții care prezintă un risc de schimb valutar și poziții care prezintă un risc de marfă.</w:t>
                  </w:r>
                </w:p>
                <w:p w14:paraId="3C068C39" w14:textId="30DEC675"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 xml:space="preserve">Cuantumurile relevante se determină în conformitate cu </w:t>
                  </w:r>
                  <w:r w:rsidR="00610991" w:rsidRPr="00A24080">
                    <w:rPr>
                      <w:sz w:val="22"/>
                      <w:szCs w:val="22"/>
                      <w:lang w:val="ro-RO"/>
                    </w:rPr>
                    <w:t>subpct.80.4 și 80.6 din Regulamentul nr.XX/2026</w:t>
                  </w:r>
                  <w:r w:rsidRPr="00A24080">
                    <w:rPr>
                      <w:sz w:val="22"/>
                      <w:szCs w:val="22"/>
                    </w:rPr>
                    <w:t xml:space="preserve">. </w:t>
                  </w:r>
                </w:p>
              </w:tc>
            </w:tr>
          </w:tbl>
          <w:p w14:paraId="26DBEF7C" w14:textId="77777777" w:rsidR="008703D5" w:rsidRPr="00A24080" w:rsidRDefault="008703D5" w:rsidP="0028208B">
            <w:pPr>
              <w:ind w:right="90"/>
              <w:jc w:val="both"/>
              <w:rPr>
                <w:sz w:val="22"/>
                <w:szCs w:val="22"/>
                <w:lang w:val="ro-RO"/>
              </w:rPr>
            </w:pPr>
          </w:p>
        </w:tc>
        <w:tc>
          <w:tcPr>
            <w:tcW w:w="1418" w:type="dxa"/>
          </w:tcPr>
          <w:p w14:paraId="5E7F27F6" w14:textId="46553AC6" w:rsidR="008703D5"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F2CDFE2" w14:textId="77777777" w:rsidR="008703D5" w:rsidRPr="00A24080" w:rsidRDefault="008703D5" w:rsidP="0028208B">
            <w:pPr>
              <w:jc w:val="both"/>
              <w:rPr>
                <w:bCs/>
                <w:sz w:val="22"/>
                <w:szCs w:val="22"/>
                <w:lang w:val="ro-RO"/>
              </w:rPr>
            </w:pPr>
          </w:p>
        </w:tc>
      </w:tr>
      <w:tr w:rsidR="008703D5" w:rsidRPr="00A24080" w14:paraId="64049A6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220ECA1E" w14:textId="77777777" w:rsidTr="003146FA">
              <w:tc>
                <w:tcPr>
                  <w:tcW w:w="1056" w:type="dxa"/>
                </w:tcPr>
                <w:p w14:paraId="3F3A742A" w14:textId="4E6A2E4C"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5A7EF89E"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în % din totalul activelor</w:t>
                  </w:r>
                </w:p>
                <w:p w14:paraId="5414AB86"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Articolul 325a alineatul (1) litera (a) din Regulamentul (UE) nr. 575/2013.</w:t>
                  </w:r>
                </w:p>
                <w:p w14:paraId="40874FD7" w14:textId="380523A0"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it-IT"/>
                    </w:rPr>
                    <w:t>Operațiunile bilanțiere și extrabilanțiere care prezintă un risc de piață se exprimă ca procent din totalul activelor.</w:t>
                  </w:r>
                </w:p>
              </w:tc>
            </w:tr>
          </w:tbl>
          <w:p w14:paraId="3905EAA2"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EE7DB0" w14:paraId="1B68696D" w14:textId="77777777" w:rsidTr="003146FA">
              <w:tc>
                <w:tcPr>
                  <w:tcW w:w="1056" w:type="dxa"/>
                </w:tcPr>
                <w:p w14:paraId="3E7DCCF5"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7B2CB1EF"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în % din totalul activelor</w:t>
                  </w:r>
                </w:p>
                <w:p w14:paraId="7CB32358" w14:textId="6D7051D7" w:rsidR="008703D5" w:rsidRPr="00A24080" w:rsidRDefault="00610991" w:rsidP="0028208B">
                  <w:pPr>
                    <w:pStyle w:val="Tabelleninhalt"/>
                    <w:framePr w:hSpace="180" w:wrap="around" w:vAnchor="text" w:hAnchor="text" w:x="-612" w:y="1"/>
                    <w:spacing w:after="120"/>
                    <w:suppressOverlap/>
                    <w:rPr>
                      <w:rFonts w:ascii="Times New Roman" w:hAnsi="Times New Roman" w:cs="Times New Roman"/>
                      <w:sz w:val="22"/>
                      <w:szCs w:val="22"/>
                    </w:rPr>
                  </w:pPr>
                  <w:r w:rsidRPr="00A24080">
                    <w:rPr>
                      <w:rFonts w:ascii="Times New Roman" w:hAnsi="Times New Roman"/>
                      <w:sz w:val="22"/>
                      <w:szCs w:val="22"/>
                    </w:rPr>
                    <w:t>Subpct.80.1 din Regulamentul nr.XX/2026</w:t>
                  </w:r>
                  <w:r w:rsidR="008703D5" w:rsidRPr="00A24080">
                    <w:rPr>
                      <w:rFonts w:ascii="Times New Roman" w:hAnsi="Times New Roman"/>
                      <w:sz w:val="22"/>
                      <w:szCs w:val="22"/>
                    </w:rPr>
                    <w:t>.</w:t>
                  </w:r>
                </w:p>
                <w:p w14:paraId="7F5FDB2E"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lang w:val="ro-RO"/>
                    </w:rPr>
                    <w:t>Operațiunile bilanțiere și extrabilanțiere care prezintă un risc de piață se exprimă ca procent din totalul activelor.</w:t>
                  </w:r>
                </w:p>
              </w:tc>
            </w:tr>
          </w:tbl>
          <w:p w14:paraId="33072623" w14:textId="77777777" w:rsidR="008703D5" w:rsidRPr="00A24080" w:rsidRDefault="008703D5" w:rsidP="0028208B">
            <w:pPr>
              <w:ind w:right="90"/>
              <w:jc w:val="both"/>
              <w:rPr>
                <w:sz w:val="22"/>
                <w:szCs w:val="22"/>
                <w:lang w:val="ro-RO"/>
              </w:rPr>
            </w:pPr>
          </w:p>
        </w:tc>
        <w:tc>
          <w:tcPr>
            <w:tcW w:w="1418" w:type="dxa"/>
          </w:tcPr>
          <w:p w14:paraId="344EEC06" w14:textId="2F667D6C" w:rsidR="008703D5"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2C17DD1" w14:textId="77777777" w:rsidR="008703D5" w:rsidRPr="00A24080" w:rsidRDefault="008703D5" w:rsidP="0028208B">
            <w:pPr>
              <w:jc w:val="both"/>
              <w:rPr>
                <w:bCs/>
                <w:sz w:val="22"/>
                <w:szCs w:val="22"/>
                <w:lang w:val="ro-RO"/>
              </w:rPr>
            </w:pPr>
          </w:p>
        </w:tc>
      </w:tr>
      <w:tr w:rsidR="008703D5" w:rsidRPr="00A24080" w14:paraId="466C6028"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8703D5" w:rsidRPr="00A24080" w14:paraId="195BC252" w14:textId="77777777" w:rsidTr="003146FA">
              <w:tc>
                <w:tcPr>
                  <w:tcW w:w="1056" w:type="dxa"/>
                </w:tcPr>
                <w:p w14:paraId="2C6CA0AA" w14:textId="07080116"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591E630F"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Active totale</w:t>
                  </w:r>
                </w:p>
                <w:p w14:paraId="5E5C6356" w14:textId="7DCB2DE2"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Articolul 94 alineatul (1) litera (a) și articolul 325a alineatul (1) litera (a) din Regulamentul (UE) nr. 575/2013.</w:t>
                  </w:r>
                </w:p>
              </w:tc>
            </w:tr>
          </w:tbl>
          <w:p w14:paraId="29245228" w14:textId="77777777" w:rsidR="008703D5" w:rsidRPr="00A24080" w:rsidRDefault="008703D5"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8703D5" w:rsidRPr="00A24080" w14:paraId="4CD49F48" w14:textId="77777777" w:rsidTr="003146FA">
              <w:tc>
                <w:tcPr>
                  <w:tcW w:w="1056" w:type="dxa"/>
                </w:tcPr>
                <w:p w14:paraId="0FA13BDD" w14:textId="77777777" w:rsidR="008703D5" w:rsidRPr="00A24080" w:rsidRDefault="008703D5"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378248C7" w14:textId="77777777" w:rsidR="008703D5" w:rsidRPr="00A24080" w:rsidRDefault="008703D5" w:rsidP="0028208B">
                  <w:pPr>
                    <w:pStyle w:val="Tabelleninhalt"/>
                    <w:framePr w:hSpace="180" w:wrap="around" w:vAnchor="text" w:hAnchor="text" w:x="-612" w:y="1"/>
                    <w:spacing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Active totale</w:t>
                  </w:r>
                </w:p>
                <w:p w14:paraId="1C2EDCAD" w14:textId="757CDFEE" w:rsidR="008703D5" w:rsidRPr="00A24080" w:rsidRDefault="00C53A30" w:rsidP="0028208B">
                  <w:pPr>
                    <w:framePr w:hSpace="180" w:wrap="around" w:vAnchor="text" w:hAnchor="text" w:x="-612" w:y="1"/>
                    <w:ind w:right="90"/>
                    <w:suppressOverlap/>
                    <w:jc w:val="both"/>
                    <w:rPr>
                      <w:sz w:val="22"/>
                      <w:szCs w:val="22"/>
                      <w:lang w:val="ro-RO"/>
                    </w:rPr>
                  </w:pPr>
                  <w:r w:rsidRPr="00A24080">
                    <w:rPr>
                      <w:sz w:val="22"/>
                      <w:szCs w:val="22"/>
                      <w:lang w:val="en-US"/>
                    </w:rPr>
                    <w:t>Pct.136 subpct.1) din Regulamentul nr.109/2018</w:t>
                  </w:r>
                  <w:r w:rsidRPr="00A24080">
                    <w:rPr>
                      <w:sz w:val="22"/>
                      <w:szCs w:val="22"/>
                      <w:lang w:val="ro-RO"/>
                    </w:rPr>
                    <w:t xml:space="preserve"> </w:t>
                  </w:r>
                  <w:r w:rsidR="008703D5" w:rsidRPr="00A24080">
                    <w:rPr>
                      <w:sz w:val="22"/>
                      <w:szCs w:val="22"/>
                    </w:rPr>
                    <w:t xml:space="preserve">și </w:t>
                  </w:r>
                  <w:r w:rsidR="00610991" w:rsidRPr="00A24080">
                    <w:rPr>
                      <w:sz w:val="22"/>
                      <w:szCs w:val="22"/>
                      <w:lang w:val="ro-RO"/>
                    </w:rPr>
                    <w:t>s</w:t>
                  </w:r>
                  <w:r w:rsidR="00610991" w:rsidRPr="00A24080">
                    <w:rPr>
                      <w:sz w:val="22"/>
                      <w:szCs w:val="22"/>
                    </w:rPr>
                    <w:t xml:space="preserve">ubpct.80.1 din Regulamentul </w:t>
                  </w:r>
                  <w:proofErr w:type="gramStart"/>
                  <w:r w:rsidR="00610991" w:rsidRPr="00A24080">
                    <w:rPr>
                      <w:sz w:val="22"/>
                      <w:szCs w:val="22"/>
                    </w:rPr>
                    <w:t>nr.XX</w:t>
                  </w:r>
                  <w:proofErr w:type="gramEnd"/>
                  <w:r w:rsidR="00610991" w:rsidRPr="00A24080">
                    <w:rPr>
                      <w:sz w:val="22"/>
                      <w:szCs w:val="22"/>
                    </w:rPr>
                    <w:t>/2026</w:t>
                  </w:r>
                  <w:r w:rsidR="008703D5" w:rsidRPr="00A24080">
                    <w:rPr>
                      <w:sz w:val="22"/>
                      <w:szCs w:val="22"/>
                    </w:rPr>
                    <w:t>.</w:t>
                  </w:r>
                </w:p>
              </w:tc>
            </w:tr>
          </w:tbl>
          <w:p w14:paraId="71707F27" w14:textId="77777777" w:rsidR="008703D5" w:rsidRPr="00A24080" w:rsidRDefault="008703D5" w:rsidP="0028208B">
            <w:pPr>
              <w:ind w:right="90"/>
              <w:jc w:val="both"/>
              <w:rPr>
                <w:sz w:val="22"/>
                <w:szCs w:val="22"/>
                <w:lang w:val="ro-RO"/>
              </w:rPr>
            </w:pPr>
          </w:p>
        </w:tc>
        <w:tc>
          <w:tcPr>
            <w:tcW w:w="1418" w:type="dxa"/>
          </w:tcPr>
          <w:p w14:paraId="03CAE4F9" w14:textId="572E3CD3" w:rsidR="008703D5"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9BEC3DB" w14:textId="77777777" w:rsidR="008703D5" w:rsidRPr="00A24080" w:rsidRDefault="008703D5" w:rsidP="0028208B">
            <w:pPr>
              <w:jc w:val="both"/>
              <w:rPr>
                <w:bCs/>
                <w:sz w:val="22"/>
                <w:szCs w:val="22"/>
                <w:lang w:val="ro-RO"/>
              </w:rPr>
            </w:pPr>
          </w:p>
        </w:tc>
      </w:tr>
      <w:tr w:rsidR="00EE6234" w:rsidRPr="00A24080" w14:paraId="7B7B7759" w14:textId="77777777" w:rsidTr="0028208B">
        <w:tc>
          <w:tcPr>
            <w:tcW w:w="5143" w:type="dxa"/>
          </w:tcPr>
          <w:p w14:paraId="084987BF" w14:textId="78A921ED" w:rsidR="00EE6234" w:rsidRPr="00A24080" w:rsidRDefault="00EE6234" w:rsidP="0028208B">
            <w:pPr>
              <w:ind w:right="90"/>
              <w:jc w:val="both"/>
              <w:rPr>
                <w:sz w:val="22"/>
                <w:szCs w:val="22"/>
                <w:lang w:val="it-IT"/>
              </w:rPr>
            </w:pPr>
            <w:r w:rsidRPr="00A24080">
              <w:rPr>
                <w:sz w:val="22"/>
                <w:szCs w:val="22"/>
                <w:lang w:val="it-IT"/>
              </w:rPr>
              <w:t>9.2 Limita dintre poziții din portofoliul de tranzacționare și poziții din afara portofoliului de tranzacționare (BOU)</w:t>
            </w:r>
          </w:p>
        </w:tc>
        <w:tc>
          <w:tcPr>
            <w:tcW w:w="5103" w:type="dxa"/>
          </w:tcPr>
          <w:p w14:paraId="07E96F06" w14:textId="52A7911D" w:rsidR="00EE6234" w:rsidRPr="00A24080" w:rsidRDefault="00010D29" w:rsidP="0028208B">
            <w:pPr>
              <w:ind w:right="90"/>
              <w:jc w:val="both"/>
              <w:rPr>
                <w:sz w:val="22"/>
                <w:szCs w:val="22"/>
                <w:lang w:val="it-IT"/>
              </w:rPr>
            </w:pPr>
            <w:bookmarkStart w:id="36" w:name="_Hlk228953105"/>
            <w:r w:rsidRPr="00A24080">
              <w:rPr>
                <w:b/>
                <w:i/>
                <w:sz w:val="22"/>
                <w:szCs w:val="22"/>
                <w:lang w:val="it-IT"/>
              </w:rPr>
              <w:t>Secțiunea 2.</w:t>
            </w:r>
            <w:r w:rsidR="00065D60" w:rsidRPr="00A24080">
              <w:rPr>
                <w:sz w:val="22"/>
                <w:szCs w:val="22"/>
                <w:lang w:val="it-IT"/>
              </w:rPr>
              <w:t xml:space="preserve"> </w:t>
            </w:r>
            <w:r w:rsidR="00EE6234" w:rsidRPr="00A24080">
              <w:rPr>
                <w:sz w:val="22"/>
                <w:szCs w:val="22"/>
                <w:lang w:val="it-IT"/>
              </w:rPr>
              <w:t>Limita dintre poziții din portofoliul de tranzacționare și poziții din afara portofoliului de tranzacționare (BOU)</w:t>
            </w:r>
            <w:bookmarkEnd w:id="36"/>
          </w:p>
        </w:tc>
        <w:tc>
          <w:tcPr>
            <w:tcW w:w="1418" w:type="dxa"/>
          </w:tcPr>
          <w:p w14:paraId="2154FB58" w14:textId="6CBB9FBD" w:rsidR="00EE6234"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43B215B" w14:textId="77777777" w:rsidR="00EE6234" w:rsidRPr="00A24080" w:rsidRDefault="00EE6234" w:rsidP="0028208B">
            <w:pPr>
              <w:jc w:val="both"/>
              <w:rPr>
                <w:bCs/>
                <w:sz w:val="22"/>
                <w:szCs w:val="22"/>
                <w:lang w:val="ro-RO"/>
              </w:rPr>
            </w:pPr>
          </w:p>
        </w:tc>
      </w:tr>
      <w:tr w:rsidR="00EE6234" w:rsidRPr="00A24080" w14:paraId="2213C849" w14:textId="77777777" w:rsidTr="0028208B">
        <w:tc>
          <w:tcPr>
            <w:tcW w:w="5143" w:type="dxa"/>
          </w:tcPr>
          <w:p w14:paraId="1C4AFE98" w14:textId="03608CFC" w:rsidR="00EE6234" w:rsidRPr="00A24080" w:rsidRDefault="00EE6234" w:rsidP="0028208B">
            <w:pPr>
              <w:ind w:right="90"/>
              <w:jc w:val="both"/>
              <w:rPr>
                <w:sz w:val="22"/>
                <w:szCs w:val="22"/>
                <w:lang w:val="it-IT"/>
              </w:rPr>
            </w:pPr>
            <w:r w:rsidRPr="00A24080">
              <w:rPr>
                <w:sz w:val="22"/>
                <w:szCs w:val="22"/>
                <w:lang w:val="it-IT"/>
              </w:rPr>
              <w:t>9.2.1</w:t>
            </w:r>
            <w:r w:rsidRPr="00A24080">
              <w:rPr>
                <w:sz w:val="22"/>
                <w:szCs w:val="22"/>
                <w:lang w:val="it-IT"/>
              </w:rPr>
              <w:tab/>
              <w:t>Observații generale</w:t>
            </w:r>
          </w:p>
        </w:tc>
        <w:tc>
          <w:tcPr>
            <w:tcW w:w="5103" w:type="dxa"/>
          </w:tcPr>
          <w:p w14:paraId="0415C56C" w14:textId="42C82656" w:rsidR="00EE6234" w:rsidRPr="00A24080" w:rsidRDefault="00010D29" w:rsidP="0028208B">
            <w:pPr>
              <w:ind w:right="90"/>
              <w:jc w:val="both"/>
              <w:rPr>
                <w:sz w:val="22"/>
                <w:szCs w:val="22"/>
                <w:lang w:val="it-IT"/>
              </w:rPr>
            </w:pPr>
            <w:bookmarkStart w:id="37" w:name="_Hlk228953140"/>
            <w:r w:rsidRPr="00A24080">
              <w:rPr>
                <w:sz w:val="22"/>
                <w:szCs w:val="22"/>
                <w:lang w:val="it-IT"/>
              </w:rPr>
              <w:t>Subsecțiunea 1.</w:t>
            </w:r>
            <w:r w:rsidR="00EE6234" w:rsidRPr="00A24080">
              <w:rPr>
                <w:sz w:val="22"/>
                <w:szCs w:val="22"/>
                <w:lang w:val="it-IT"/>
              </w:rPr>
              <w:tab/>
              <w:t>Observații generale</w:t>
            </w:r>
            <w:bookmarkEnd w:id="37"/>
          </w:p>
        </w:tc>
        <w:tc>
          <w:tcPr>
            <w:tcW w:w="1418" w:type="dxa"/>
          </w:tcPr>
          <w:p w14:paraId="52436D31" w14:textId="60E664FC" w:rsidR="00EE6234" w:rsidRPr="00A24080" w:rsidRDefault="004D65CC"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FC0CA09" w14:textId="77777777" w:rsidR="00EE6234" w:rsidRPr="00A24080" w:rsidRDefault="00EE6234" w:rsidP="0028208B">
            <w:pPr>
              <w:jc w:val="both"/>
              <w:rPr>
                <w:bCs/>
                <w:sz w:val="22"/>
                <w:szCs w:val="22"/>
                <w:lang w:val="ro-RO"/>
              </w:rPr>
            </w:pPr>
          </w:p>
        </w:tc>
      </w:tr>
      <w:tr w:rsidR="00EE6234" w:rsidRPr="00A24080" w14:paraId="4AE65B94" w14:textId="77777777" w:rsidTr="0028208B">
        <w:tc>
          <w:tcPr>
            <w:tcW w:w="5143" w:type="dxa"/>
          </w:tcPr>
          <w:p w14:paraId="6EDFEEF1" w14:textId="2E8512D3" w:rsidR="00EE6234" w:rsidRPr="00A24080" w:rsidRDefault="00EE6234" w:rsidP="0028208B">
            <w:pPr>
              <w:ind w:right="90"/>
              <w:jc w:val="both"/>
              <w:rPr>
                <w:sz w:val="22"/>
                <w:szCs w:val="22"/>
                <w:lang w:val="ro-RO"/>
              </w:rPr>
            </w:pPr>
            <w:r w:rsidRPr="00A24080">
              <w:rPr>
                <w:sz w:val="22"/>
                <w:szCs w:val="22"/>
                <w:lang w:val="ro-RO"/>
              </w:rPr>
              <w:t>209a. Acest formular se utilizează pentru furnizarea de informații cu privire la compoziția portofoliului de tranzacționare (BOU1), având în vedere prezumțiile de includere a instrumentelor în portofolii, prevăzute la articolul 104 din Regulamentul (UE) nr. 575/2013.</w:t>
            </w:r>
          </w:p>
        </w:tc>
        <w:tc>
          <w:tcPr>
            <w:tcW w:w="5103" w:type="dxa"/>
          </w:tcPr>
          <w:p w14:paraId="1FDE8C1D" w14:textId="1CBD7DA5" w:rsidR="00EE6234" w:rsidRPr="00A24080" w:rsidRDefault="00010D29" w:rsidP="0028208B">
            <w:pPr>
              <w:ind w:right="90"/>
              <w:jc w:val="both"/>
              <w:rPr>
                <w:sz w:val="22"/>
                <w:szCs w:val="22"/>
                <w:lang w:val="ro-RO"/>
              </w:rPr>
            </w:pPr>
            <w:bookmarkStart w:id="38" w:name="_Hlk228953175"/>
            <w:r w:rsidRPr="00A24080">
              <w:rPr>
                <w:sz w:val="22"/>
                <w:szCs w:val="22"/>
                <w:lang w:val="ro-RO"/>
              </w:rPr>
              <w:t>4</w:t>
            </w:r>
            <w:r w:rsidR="00EE6234" w:rsidRPr="00A24080">
              <w:rPr>
                <w:sz w:val="22"/>
                <w:szCs w:val="22"/>
                <w:lang w:val="ro-RO"/>
              </w:rPr>
              <w:t xml:space="preserve">. Acest formular se utilizează pentru furnizarea de informații cu privire la compoziția portofoliului de tranzacționare (BOU1), având în vedere prezumțiile de includere a instrumentelor în portofolii, prevăzute la </w:t>
            </w:r>
            <w:r w:rsidRPr="00A24080">
              <w:rPr>
                <w:sz w:val="22"/>
                <w:szCs w:val="22"/>
                <w:lang w:val="ro-RO"/>
              </w:rPr>
              <w:lastRenderedPageBreak/>
              <w:t>titlul I capitolul III secțiunea 3</w:t>
            </w:r>
            <w:r w:rsidR="002862FD" w:rsidRPr="00EE7DB0">
              <w:rPr>
                <w:lang w:val="ro-RO"/>
              </w:rPr>
              <w:t xml:space="preserve"> </w:t>
            </w:r>
            <w:r w:rsidR="002862FD" w:rsidRPr="002862FD">
              <w:rPr>
                <w:sz w:val="22"/>
                <w:szCs w:val="22"/>
                <w:lang w:val="ro-RO"/>
              </w:rPr>
              <w:t>din Regulamentul nr.XX/2026</w:t>
            </w:r>
            <w:r w:rsidR="00EE6234" w:rsidRPr="00A24080">
              <w:rPr>
                <w:sz w:val="22"/>
                <w:szCs w:val="22"/>
                <w:lang w:val="ro-RO"/>
              </w:rPr>
              <w:t>.</w:t>
            </w:r>
            <w:bookmarkEnd w:id="38"/>
          </w:p>
        </w:tc>
        <w:tc>
          <w:tcPr>
            <w:tcW w:w="1418" w:type="dxa"/>
          </w:tcPr>
          <w:p w14:paraId="37B1F20D" w14:textId="2601612E" w:rsidR="00EE6234" w:rsidRPr="00A24080" w:rsidRDefault="004D65CC"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409FBB6F" w14:textId="77777777" w:rsidR="00EE6234" w:rsidRPr="00A24080" w:rsidRDefault="00EE6234" w:rsidP="0028208B">
            <w:pPr>
              <w:jc w:val="both"/>
              <w:rPr>
                <w:bCs/>
                <w:sz w:val="22"/>
                <w:szCs w:val="22"/>
                <w:lang w:val="ro-RO"/>
              </w:rPr>
            </w:pPr>
          </w:p>
        </w:tc>
      </w:tr>
      <w:tr w:rsidR="00EE6234" w:rsidRPr="00A24080" w14:paraId="324B0A3D" w14:textId="77777777" w:rsidTr="0028208B">
        <w:tc>
          <w:tcPr>
            <w:tcW w:w="5143" w:type="dxa"/>
          </w:tcPr>
          <w:p w14:paraId="5AAC2ABD" w14:textId="4C33ECF9" w:rsidR="00EE6234" w:rsidRPr="00A24080" w:rsidRDefault="00EE6234" w:rsidP="0028208B">
            <w:pPr>
              <w:ind w:right="90"/>
              <w:jc w:val="both"/>
              <w:rPr>
                <w:sz w:val="22"/>
                <w:szCs w:val="22"/>
                <w:lang w:val="ro-RO"/>
              </w:rPr>
            </w:pPr>
            <w:r w:rsidRPr="00A24080">
              <w:rPr>
                <w:sz w:val="22"/>
                <w:szCs w:val="22"/>
                <w:lang w:val="ro-RO"/>
              </w:rPr>
              <w:t>9.2.2</w:t>
            </w:r>
            <w:r w:rsidRPr="00A24080">
              <w:rPr>
                <w:sz w:val="22"/>
                <w:szCs w:val="22"/>
                <w:lang w:val="ro-RO"/>
              </w:rPr>
              <w:tab/>
              <w:t>C 90.05 – Limită: portofoliul de tranzacționare (BOU1)</w:t>
            </w:r>
          </w:p>
        </w:tc>
        <w:tc>
          <w:tcPr>
            <w:tcW w:w="5103" w:type="dxa"/>
          </w:tcPr>
          <w:p w14:paraId="19F08282" w14:textId="1284D8EB" w:rsidR="00EE6234" w:rsidRPr="00A24080" w:rsidRDefault="00010D29" w:rsidP="0028208B">
            <w:pPr>
              <w:ind w:right="90"/>
              <w:jc w:val="both"/>
              <w:rPr>
                <w:sz w:val="22"/>
                <w:szCs w:val="22"/>
                <w:lang w:val="ro-RO"/>
              </w:rPr>
            </w:pPr>
            <w:bookmarkStart w:id="39" w:name="_Hlk228953194"/>
            <w:r w:rsidRPr="00A24080">
              <w:rPr>
                <w:sz w:val="22"/>
                <w:szCs w:val="22"/>
                <w:lang w:val="it-IT"/>
              </w:rPr>
              <w:t>Subsecțiunea 2.</w:t>
            </w:r>
            <w:r w:rsidR="00EE6234" w:rsidRPr="00A24080">
              <w:rPr>
                <w:sz w:val="22"/>
                <w:szCs w:val="22"/>
                <w:lang w:val="ro-RO"/>
              </w:rPr>
              <w:tab/>
              <w:t>C 90.05 – Limită: portofoliul de tranzacționare (BOU1)</w:t>
            </w:r>
            <w:bookmarkEnd w:id="39"/>
          </w:p>
        </w:tc>
        <w:tc>
          <w:tcPr>
            <w:tcW w:w="1418" w:type="dxa"/>
          </w:tcPr>
          <w:p w14:paraId="3ACB73A4" w14:textId="4BA8522B"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A20402F" w14:textId="77777777" w:rsidR="00EE6234" w:rsidRPr="00A24080" w:rsidRDefault="00EE6234" w:rsidP="0028208B">
            <w:pPr>
              <w:jc w:val="both"/>
              <w:rPr>
                <w:bCs/>
                <w:sz w:val="22"/>
                <w:szCs w:val="22"/>
                <w:lang w:val="ro-RO"/>
              </w:rPr>
            </w:pPr>
          </w:p>
        </w:tc>
      </w:tr>
      <w:tr w:rsidR="00EE6234" w:rsidRPr="00A24080" w14:paraId="3F6B10C2" w14:textId="77777777" w:rsidTr="0028208B">
        <w:tc>
          <w:tcPr>
            <w:tcW w:w="5143" w:type="dxa"/>
          </w:tcPr>
          <w:p w14:paraId="06BE6845" w14:textId="3DF5AD1E" w:rsidR="00EE6234" w:rsidRPr="00A24080" w:rsidRDefault="00EE6234" w:rsidP="0028208B">
            <w:pPr>
              <w:ind w:right="90"/>
              <w:jc w:val="both"/>
              <w:rPr>
                <w:sz w:val="22"/>
                <w:szCs w:val="22"/>
                <w:lang w:val="ro-RO"/>
              </w:rPr>
            </w:pPr>
            <w:r w:rsidRPr="00A24080">
              <w:rPr>
                <w:sz w:val="22"/>
                <w:szCs w:val="22"/>
                <w:lang w:val="ro-RO"/>
              </w:rPr>
              <w:t>9.2.2.1. Observații generale</w:t>
            </w:r>
          </w:p>
        </w:tc>
        <w:tc>
          <w:tcPr>
            <w:tcW w:w="5103" w:type="dxa"/>
          </w:tcPr>
          <w:p w14:paraId="51B2DE88" w14:textId="6D3A6998" w:rsidR="00EE6234" w:rsidRPr="00A24080" w:rsidRDefault="00010D29" w:rsidP="0028208B">
            <w:pPr>
              <w:ind w:right="90"/>
              <w:jc w:val="both"/>
              <w:rPr>
                <w:sz w:val="22"/>
                <w:szCs w:val="22"/>
                <w:lang w:val="ro-RO"/>
              </w:rPr>
            </w:pPr>
            <w:bookmarkStart w:id="40" w:name="_Hlk228953223"/>
            <w:r w:rsidRPr="00A24080">
              <w:rPr>
                <w:sz w:val="22"/>
                <w:szCs w:val="22"/>
                <w:lang w:val="ro-RO"/>
              </w:rPr>
              <w:t>Paragraful 1.</w:t>
            </w:r>
            <w:r w:rsidR="00EE6234" w:rsidRPr="00A24080">
              <w:rPr>
                <w:sz w:val="22"/>
                <w:szCs w:val="22"/>
                <w:lang w:val="ro-RO"/>
              </w:rPr>
              <w:t xml:space="preserve"> Observații generale</w:t>
            </w:r>
            <w:bookmarkEnd w:id="40"/>
          </w:p>
        </w:tc>
        <w:tc>
          <w:tcPr>
            <w:tcW w:w="1418" w:type="dxa"/>
          </w:tcPr>
          <w:p w14:paraId="560FDB7A" w14:textId="10B1183B"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963A984" w14:textId="77777777" w:rsidR="00EE6234" w:rsidRPr="00A24080" w:rsidRDefault="00EE6234" w:rsidP="0028208B">
            <w:pPr>
              <w:jc w:val="both"/>
              <w:rPr>
                <w:bCs/>
                <w:sz w:val="22"/>
                <w:szCs w:val="22"/>
                <w:lang w:val="ro-RO"/>
              </w:rPr>
            </w:pPr>
          </w:p>
        </w:tc>
      </w:tr>
      <w:tr w:rsidR="00EE6234" w:rsidRPr="00A24080" w14:paraId="4EB4E503" w14:textId="77777777" w:rsidTr="0028208B">
        <w:tc>
          <w:tcPr>
            <w:tcW w:w="5143" w:type="dxa"/>
          </w:tcPr>
          <w:p w14:paraId="796E421D" w14:textId="77777777" w:rsidR="00C147B6" w:rsidRPr="00A24080" w:rsidRDefault="00EE6234" w:rsidP="0028208B">
            <w:pPr>
              <w:ind w:right="90"/>
              <w:jc w:val="both"/>
              <w:rPr>
                <w:sz w:val="22"/>
                <w:szCs w:val="22"/>
                <w:lang w:val="ro-RO"/>
              </w:rPr>
            </w:pPr>
            <w:r w:rsidRPr="00A24080">
              <w:rPr>
                <w:sz w:val="22"/>
                <w:szCs w:val="22"/>
                <w:lang w:val="ro-RO"/>
              </w:rPr>
              <w:t xml:space="preserve">209b. Instituțiile raportează în acest formular toate pozițiile atribuite portofoliului de tranzacționare, astfel cum se menționează la articolul 4 alineatul (1) punctul 85 din Regulamentul (UE) nr. 575/2013, cu excepția instrumentelor și a pozițiilor excluse de la calcularea pragului menționat la articolul 325a din Regulamentul (UE) nr. 575/2013. </w:t>
            </w:r>
          </w:p>
          <w:p w14:paraId="27F62508" w14:textId="05C86EBC" w:rsidR="00EE6234" w:rsidRPr="00A24080" w:rsidRDefault="00EE6234" w:rsidP="0028208B">
            <w:pPr>
              <w:ind w:right="90"/>
              <w:jc w:val="both"/>
              <w:rPr>
                <w:sz w:val="22"/>
                <w:szCs w:val="22"/>
                <w:lang w:val="ro-RO"/>
              </w:rPr>
            </w:pPr>
          </w:p>
        </w:tc>
        <w:tc>
          <w:tcPr>
            <w:tcW w:w="5103" w:type="dxa"/>
          </w:tcPr>
          <w:p w14:paraId="28F764DF" w14:textId="24F7DAD5" w:rsidR="00EE6234" w:rsidRPr="00A24080" w:rsidRDefault="00010D29" w:rsidP="0028208B">
            <w:pPr>
              <w:ind w:right="90"/>
              <w:jc w:val="both"/>
              <w:rPr>
                <w:sz w:val="22"/>
                <w:szCs w:val="22"/>
                <w:lang w:val="ro-RO"/>
              </w:rPr>
            </w:pPr>
            <w:bookmarkStart w:id="41" w:name="_Hlk228953240"/>
            <w:r w:rsidRPr="00A24080">
              <w:rPr>
                <w:sz w:val="22"/>
                <w:szCs w:val="22"/>
                <w:lang w:val="ro-RO"/>
              </w:rPr>
              <w:t>5</w:t>
            </w:r>
            <w:r w:rsidR="00EE6234" w:rsidRPr="00A24080">
              <w:rPr>
                <w:sz w:val="22"/>
                <w:szCs w:val="22"/>
                <w:lang w:val="ro-RO"/>
              </w:rPr>
              <w:t xml:space="preserve">. </w:t>
            </w:r>
            <w:r w:rsidR="00F466E1" w:rsidRPr="00A24080">
              <w:rPr>
                <w:sz w:val="22"/>
                <w:szCs w:val="22"/>
                <w:lang w:val="ro-RO"/>
              </w:rPr>
              <w:t xml:space="preserve">Băncile </w:t>
            </w:r>
            <w:r w:rsidR="00EE6234" w:rsidRPr="00A24080">
              <w:rPr>
                <w:sz w:val="22"/>
                <w:szCs w:val="22"/>
                <w:lang w:val="ro-RO"/>
              </w:rPr>
              <w:t xml:space="preserve">raportează în acest formular toate pozițiile atribuite portofoliului de tranzacționare, astfel cum se menționează la </w:t>
            </w:r>
            <w:r w:rsidR="00C147B6" w:rsidRPr="00A24080">
              <w:rPr>
                <w:sz w:val="22"/>
                <w:szCs w:val="22"/>
                <w:lang w:val="ro-RO"/>
              </w:rPr>
              <w:t>subpct.5.13 din Regulamentul nr.XX/2026</w:t>
            </w:r>
            <w:r w:rsidR="00EE6234" w:rsidRPr="00A24080">
              <w:rPr>
                <w:sz w:val="22"/>
                <w:szCs w:val="22"/>
                <w:lang w:val="ro-RO"/>
              </w:rPr>
              <w:t xml:space="preserve">, cu excepția instrumentelor și a pozițiilor excluse de la calcularea pragului menționat la </w:t>
            </w:r>
            <w:r w:rsidR="00610991" w:rsidRPr="00A24080">
              <w:rPr>
                <w:sz w:val="22"/>
                <w:szCs w:val="22"/>
                <w:lang w:val="ro-RO"/>
              </w:rPr>
              <w:t>titlul II capitolul I secțiunea 2 din Regulamentul nr.XX/2026</w:t>
            </w:r>
            <w:r w:rsidR="00EE6234" w:rsidRPr="00A24080">
              <w:rPr>
                <w:sz w:val="22"/>
                <w:szCs w:val="22"/>
                <w:lang w:val="ro-RO"/>
              </w:rPr>
              <w:t xml:space="preserve">. </w:t>
            </w:r>
            <w:bookmarkEnd w:id="41"/>
          </w:p>
        </w:tc>
        <w:tc>
          <w:tcPr>
            <w:tcW w:w="1418" w:type="dxa"/>
          </w:tcPr>
          <w:p w14:paraId="35E584FF" w14:textId="4F6E1F3C"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12BF724" w14:textId="77777777" w:rsidR="00EE6234" w:rsidRPr="00A24080" w:rsidRDefault="00EE6234" w:rsidP="0028208B">
            <w:pPr>
              <w:jc w:val="both"/>
              <w:rPr>
                <w:bCs/>
                <w:sz w:val="22"/>
                <w:szCs w:val="22"/>
                <w:lang w:val="ro-RO"/>
              </w:rPr>
            </w:pPr>
          </w:p>
        </w:tc>
      </w:tr>
      <w:tr w:rsidR="00C147B6" w:rsidRPr="00EE7DB0" w14:paraId="7E988A51" w14:textId="77777777" w:rsidTr="0028208B">
        <w:tc>
          <w:tcPr>
            <w:tcW w:w="5143" w:type="dxa"/>
          </w:tcPr>
          <w:p w14:paraId="031A3B29" w14:textId="4D8F086F" w:rsidR="00C147B6" w:rsidRPr="00A24080" w:rsidRDefault="00C147B6" w:rsidP="0028208B">
            <w:pPr>
              <w:ind w:right="90"/>
              <w:jc w:val="both"/>
              <w:rPr>
                <w:sz w:val="22"/>
                <w:szCs w:val="22"/>
                <w:lang w:val="ro-RO"/>
              </w:rPr>
            </w:pPr>
            <w:r w:rsidRPr="00A24080">
              <w:rPr>
                <w:sz w:val="22"/>
                <w:szCs w:val="22"/>
                <w:lang w:val="ro-RO"/>
              </w:rPr>
              <w:t>209c. Prin derogare de la articolul 21 alineatul (1) litera (a) din Regulamentul (UE) 2021/451, instituțiile raportează valoarea zero pe rândurile 0010 și 0020, în coloanele 0020 («În mod obligatoriu în portofoliul de tranzacționare»), 0130 («Instrumente incluse în portofoliul de tranzacționare cu aprobarea autorității competente: instrumente din fonduri din fonduri de hedging») și, respectiv, 0140 («Alte instrumente»), dacă portofoliul lor de tranzacționare nu include niciun instrument care să corespundă descrierii celulei respective.</w:t>
            </w:r>
          </w:p>
        </w:tc>
        <w:tc>
          <w:tcPr>
            <w:tcW w:w="5103" w:type="dxa"/>
          </w:tcPr>
          <w:p w14:paraId="205C56BC" w14:textId="6DCF3401" w:rsidR="00C147B6" w:rsidRPr="00A24080" w:rsidRDefault="00225D2B" w:rsidP="0028208B">
            <w:pPr>
              <w:ind w:right="90"/>
              <w:jc w:val="both"/>
              <w:rPr>
                <w:sz w:val="22"/>
                <w:szCs w:val="22"/>
                <w:lang w:val="ro-RO"/>
              </w:rPr>
            </w:pPr>
            <w:bookmarkStart w:id="42" w:name="_Hlk228953350"/>
            <w:r w:rsidRPr="00A24080">
              <w:rPr>
                <w:sz w:val="22"/>
                <w:szCs w:val="22"/>
                <w:lang w:val="ro-RO"/>
              </w:rPr>
              <w:t>6</w:t>
            </w:r>
            <w:r w:rsidR="00C147B6" w:rsidRPr="00A24080">
              <w:rPr>
                <w:sz w:val="22"/>
                <w:szCs w:val="22"/>
                <w:lang w:val="ro-RO"/>
              </w:rPr>
              <w:t xml:space="preserve">. </w:t>
            </w:r>
            <w:r w:rsidRPr="00A24080">
              <w:rPr>
                <w:sz w:val="22"/>
                <w:szCs w:val="22"/>
                <w:lang w:val="ro-RO"/>
              </w:rPr>
              <w:t>Băncile</w:t>
            </w:r>
            <w:r w:rsidR="00C147B6" w:rsidRPr="00A24080">
              <w:rPr>
                <w:sz w:val="22"/>
                <w:szCs w:val="22"/>
                <w:lang w:val="ro-RO"/>
              </w:rPr>
              <w:t xml:space="preserve"> raportează valoarea zero pe rândurile 0010 și 0020, în coloanele 0020 («În mod obligatoriu în portofoliul de tranzacționare»), 0130 («Instrumente incluse în portofoliul de tranzacționare cu aprobarea </w:t>
            </w:r>
            <w:r w:rsidR="001A7131" w:rsidRPr="00A24080">
              <w:rPr>
                <w:sz w:val="22"/>
                <w:szCs w:val="22"/>
                <w:lang w:val="ro-RO"/>
              </w:rPr>
              <w:t>BNM</w:t>
            </w:r>
            <w:r w:rsidR="00C147B6" w:rsidRPr="00A24080">
              <w:rPr>
                <w:sz w:val="22"/>
                <w:szCs w:val="22"/>
                <w:lang w:val="ro-RO"/>
              </w:rPr>
              <w:t>: instrumente din fonduri de hedging») și, respectiv, 0140 («Alte instrumente»), dacă portofoliul lor de tranzacționare nu include niciun instrument care să corespundă descrierii celulei respective.</w:t>
            </w:r>
            <w:bookmarkEnd w:id="42"/>
          </w:p>
        </w:tc>
        <w:tc>
          <w:tcPr>
            <w:tcW w:w="1418" w:type="dxa"/>
          </w:tcPr>
          <w:p w14:paraId="11781EAD" w14:textId="21A7856B" w:rsidR="00C147B6" w:rsidRPr="00A24080" w:rsidRDefault="00225D2B" w:rsidP="0028208B">
            <w:pPr>
              <w:jc w:val="both"/>
              <w:rPr>
                <w:sz w:val="22"/>
                <w:szCs w:val="22"/>
                <w:lang w:val="ro-RO"/>
              </w:rPr>
            </w:pPr>
            <w:r w:rsidRPr="00A24080">
              <w:rPr>
                <w:sz w:val="22"/>
                <w:szCs w:val="22"/>
                <w:lang w:val="ro-RO"/>
              </w:rPr>
              <w:t>Parțial compatibil</w:t>
            </w:r>
          </w:p>
        </w:tc>
        <w:tc>
          <w:tcPr>
            <w:tcW w:w="3544" w:type="dxa"/>
            <w:tcBorders>
              <w:top w:val="single" w:sz="4" w:space="0" w:color="auto"/>
              <w:bottom w:val="single" w:sz="4" w:space="0" w:color="auto"/>
            </w:tcBorders>
          </w:tcPr>
          <w:p w14:paraId="483D9C0D" w14:textId="5E5D8ADF" w:rsidR="00C147B6" w:rsidRPr="00A24080" w:rsidRDefault="00225D2B" w:rsidP="0028208B">
            <w:pPr>
              <w:jc w:val="both"/>
              <w:rPr>
                <w:sz w:val="22"/>
                <w:szCs w:val="22"/>
                <w:lang w:val="ro-RO"/>
              </w:rPr>
            </w:pPr>
            <w:r w:rsidRPr="00A24080">
              <w:rPr>
                <w:sz w:val="22"/>
                <w:szCs w:val="22"/>
                <w:lang w:val="ro-RO"/>
              </w:rPr>
              <w:t>Nu au fost transpuse prevederile care fac trimitere la art.21 alin.(1) lit.(a) din Regulamentul (UE) 2021/451 (referitoare la anexa XIV Modelul unic privind punctele de date și anexa XV Norme de validare), deoarece prevederile respective nu au fost transpuse în Instrucțiunea nr.117/2018.</w:t>
            </w:r>
          </w:p>
        </w:tc>
      </w:tr>
      <w:tr w:rsidR="008703D5" w:rsidRPr="00A24080" w14:paraId="4BCB1204" w14:textId="77777777" w:rsidTr="0028208B">
        <w:tc>
          <w:tcPr>
            <w:tcW w:w="5143" w:type="dxa"/>
          </w:tcPr>
          <w:p w14:paraId="0726107C" w14:textId="07641888" w:rsidR="008703D5" w:rsidRPr="00A24080" w:rsidRDefault="008703D5" w:rsidP="0028208B">
            <w:pPr>
              <w:ind w:right="90"/>
              <w:jc w:val="both"/>
              <w:rPr>
                <w:sz w:val="22"/>
                <w:szCs w:val="22"/>
                <w:lang w:val="ro-RO"/>
              </w:rPr>
            </w:pPr>
            <w:r w:rsidRPr="00A24080">
              <w:rPr>
                <w:sz w:val="22"/>
                <w:szCs w:val="22"/>
                <w:lang w:val="ro-RO"/>
              </w:rPr>
              <w:t>9.2.2.2. Instrucțiuni privind anumite poziții</w:t>
            </w:r>
          </w:p>
        </w:tc>
        <w:tc>
          <w:tcPr>
            <w:tcW w:w="5103" w:type="dxa"/>
          </w:tcPr>
          <w:p w14:paraId="5A5328B5" w14:textId="684DD37E" w:rsidR="008703D5" w:rsidRPr="00A24080" w:rsidRDefault="00EE6234" w:rsidP="0028208B">
            <w:pPr>
              <w:ind w:right="90"/>
              <w:jc w:val="both"/>
              <w:rPr>
                <w:sz w:val="22"/>
                <w:szCs w:val="22"/>
                <w:lang w:val="ro-RO"/>
              </w:rPr>
            </w:pPr>
            <w:r w:rsidRPr="00A24080">
              <w:rPr>
                <w:sz w:val="22"/>
                <w:szCs w:val="22"/>
                <w:lang w:val="ro-RO"/>
              </w:rPr>
              <w:t>Instrucțiuni privind anumite poziții</w:t>
            </w:r>
          </w:p>
        </w:tc>
        <w:tc>
          <w:tcPr>
            <w:tcW w:w="1418" w:type="dxa"/>
          </w:tcPr>
          <w:p w14:paraId="434D826B" w14:textId="3D2E3ADC" w:rsidR="008703D5"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F911479" w14:textId="77777777" w:rsidR="008703D5" w:rsidRPr="00A24080" w:rsidRDefault="008703D5" w:rsidP="0028208B">
            <w:pPr>
              <w:jc w:val="both"/>
              <w:rPr>
                <w:bCs/>
                <w:sz w:val="22"/>
                <w:szCs w:val="22"/>
                <w:lang w:val="ro-RO"/>
              </w:rPr>
            </w:pPr>
          </w:p>
        </w:tc>
      </w:tr>
      <w:tr w:rsidR="00EE6234" w:rsidRPr="00A24080" w14:paraId="48B0BA6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1640D408" w14:textId="77777777" w:rsidTr="003146FA">
              <w:tc>
                <w:tcPr>
                  <w:tcW w:w="1056" w:type="dxa"/>
                  <w:shd w:val="clear" w:color="auto" w:fill="BFBFBF" w:themeFill="background1" w:themeFillShade="BF"/>
                </w:tcPr>
                <w:p w14:paraId="663A01AE"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b/>
                      <w:sz w:val="22"/>
                      <w:szCs w:val="22"/>
                    </w:rPr>
                    <w:t>Coloană</w:t>
                  </w:r>
                </w:p>
              </w:tc>
              <w:tc>
                <w:tcPr>
                  <w:tcW w:w="3861" w:type="dxa"/>
                  <w:shd w:val="clear" w:color="auto" w:fill="BFBFBF" w:themeFill="background1" w:themeFillShade="BF"/>
                </w:tcPr>
                <w:p w14:paraId="5A5F54B0"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bl>
          <w:p w14:paraId="085A2532"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63D7A088" w14:textId="77777777" w:rsidTr="003146FA">
              <w:tc>
                <w:tcPr>
                  <w:tcW w:w="1056" w:type="dxa"/>
                  <w:shd w:val="clear" w:color="auto" w:fill="BFBFBF" w:themeFill="background1" w:themeFillShade="BF"/>
                </w:tcPr>
                <w:p w14:paraId="69CD2E8D"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b/>
                      <w:sz w:val="22"/>
                      <w:szCs w:val="22"/>
                    </w:rPr>
                    <w:t>Coloană</w:t>
                  </w:r>
                </w:p>
              </w:tc>
              <w:tc>
                <w:tcPr>
                  <w:tcW w:w="3861" w:type="dxa"/>
                  <w:shd w:val="clear" w:color="auto" w:fill="BFBFBF" w:themeFill="background1" w:themeFillShade="BF"/>
                </w:tcPr>
                <w:p w14:paraId="7F7FC5E3"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bl>
          <w:p w14:paraId="05519DA0" w14:textId="77777777" w:rsidR="00EE6234" w:rsidRPr="00A24080" w:rsidRDefault="00EE6234" w:rsidP="0028208B">
            <w:pPr>
              <w:ind w:right="90"/>
              <w:jc w:val="both"/>
              <w:rPr>
                <w:sz w:val="22"/>
                <w:szCs w:val="22"/>
                <w:lang w:val="ro-RO"/>
              </w:rPr>
            </w:pPr>
          </w:p>
        </w:tc>
        <w:tc>
          <w:tcPr>
            <w:tcW w:w="1418" w:type="dxa"/>
          </w:tcPr>
          <w:p w14:paraId="2718BEE9" w14:textId="6E07E905"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B60B946" w14:textId="77777777" w:rsidR="00EE6234" w:rsidRPr="00A24080" w:rsidRDefault="00EE6234" w:rsidP="0028208B">
            <w:pPr>
              <w:jc w:val="both"/>
              <w:rPr>
                <w:bCs/>
                <w:sz w:val="22"/>
                <w:szCs w:val="22"/>
                <w:lang w:val="ro-RO"/>
              </w:rPr>
            </w:pPr>
          </w:p>
        </w:tc>
      </w:tr>
      <w:tr w:rsidR="00EE6234" w:rsidRPr="00A24080" w14:paraId="6BCDDC5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058F6974" w14:textId="77777777" w:rsidTr="003146FA">
              <w:tc>
                <w:tcPr>
                  <w:tcW w:w="1056" w:type="dxa"/>
                </w:tcPr>
                <w:p w14:paraId="5013068E"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0010-0150</w:t>
                  </w:r>
                </w:p>
              </w:tc>
              <w:tc>
                <w:tcPr>
                  <w:tcW w:w="3861" w:type="dxa"/>
                  <w:vAlign w:val="bottom"/>
                </w:tcPr>
                <w:p w14:paraId="04EF52A7"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Portofoliu de tranzacționare: poziții agregate – valoarea în sensul articolului 325a din Regulamentul (UE) nr. 575/2013 [valoare de piață netă pozitivă (+)/negativă (-)]</w:t>
                  </w:r>
                </w:p>
                <w:p w14:paraId="6C4274B5"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sz w:val="22"/>
                      <w:szCs w:val="22"/>
                    </w:rPr>
                  </w:pPr>
                  <w:r w:rsidRPr="00A24080">
                    <w:rPr>
                      <w:rFonts w:ascii="Times New Roman" w:hAnsi="Times New Roman"/>
                      <w:sz w:val="22"/>
                      <w:szCs w:val="22"/>
                    </w:rPr>
                    <w:lastRenderedPageBreak/>
                    <w:t>Articolul 4 alineatul (1) punctul 86, articolul 104 și articolul 325a alineatul (2) litera (a) din Regulamentul (UE) nr. 575/2013.</w:t>
                  </w:r>
                </w:p>
                <w:p w14:paraId="4C842BC1"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lang w:val="ro-RO"/>
                    </w:rPr>
                    <w:t>Instituțiile raportează separat informațiile pentru pozițiile lungi agregate și pentru pozițiile scurte agregate. Instituțiile determină valoarea poziției lungi (scurte) agregate în conformitate cu articolul 325a alineatul (2) din Regulamentul (UE) nr. 575/2013, cu următoarea derogare: în cazul în care valoarea poziției lungi (scurte) agregate corespunde unei valori de piață nete pozitive, în acest formular se raportează o valoare pozitivă; în cazul în care valoarea poziției lungi (scurte) agregate corespunde unei valori de piață nete negative, se raportează o valoare negativă.</w:t>
                  </w:r>
                </w:p>
              </w:tc>
            </w:tr>
          </w:tbl>
          <w:p w14:paraId="24EB8204" w14:textId="18B09D8D"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4500FDBF" w14:textId="77777777" w:rsidTr="003146FA">
              <w:tc>
                <w:tcPr>
                  <w:tcW w:w="1056" w:type="dxa"/>
                </w:tcPr>
                <w:p w14:paraId="6236600A"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lastRenderedPageBreak/>
                    <w:t>0010-0150</w:t>
                  </w:r>
                </w:p>
              </w:tc>
              <w:tc>
                <w:tcPr>
                  <w:tcW w:w="3861" w:type="dxa"/>
                  <w:vAlign w:val="bottom"/>
                </w:tcPr>
                <w:p w14:paraId="5B0F4948" w14:textId="0CB77486"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 xml:space="preserve">Portofoliu de tranzacționare: poziții agregate – valoarea în sensul </w:t>
                  </w:r>
                  <w:r w:rsidR="00A55D0A" w:rsidRPr="00A24080">
                    <w:rPr>
                      <w:rFonts w:ascii="Times New Roman" w:hAnsi="Times New Roman"/>
                      <w:b/>
                      <w:sz w:val="22"/>
                      <w:szCs w:val="22"/>
                      <w:u w:val="single"/>
                    </w:rPr>
                    <w:t>titlului II capitolul I secțiunea 2 din Regulamentul nr.XX/2026</w:t>
                  </w:r>
                  <w:r w:rsidR="00A55D0A" w:rsidRPr="00A24080" w:rsidDel="00A55D0A">
                    <w:rPr>
                      <w:rFonts w:ascii="Times New Roman" w:hAnsi="Times New Roman"/>
                      <w:b/>
                      <w:sz w:val="22"/>
                      <w:szCs w:val="22"/>
                      <w:u w:val="single"/>
                    </w:rPr>
                    <w:t xml:space="preserve"> </w:t>
                  </w:r>
                  <w:r w:rsidRPr="00A24080">
                    <w:rPr>
                      <w:rFonts w:ascii="Times New Roman" w:hAnsi="Times New Roman"/>
                      <w:b/>
                      <w:sz w:val="22"/>
                      <w:szCs w:val="22"/>
                      <w:u w:val="single"/>
                    </w:rPr>
                    <w:t>[valoare de piață netă pozitivă (+)/negativă (-)]</w:t>
                  </w:r>
                </w:p>
                <w:p w14:paraId="747B2D57" w14:textId="1272B121" w:rsidR="00EE6234" w:rsidRPr="00A24080" w:rsidRDefault="00A55D0A" w:rsidP="0028208B">
                  <w:pPr>
                    <w:pStyle w:val="BodyText"/>
                    <w:framePr w:hSpace="180" w:wrap="around" w:vAnchor="text" w:hAnchor="text" w:x="-612" w:y="1"/>
                    <w:spacing w:before="120" w:after="120"/>
                    <w:suppressOverlap/>
                    <w:rPr>
                      <w:rFonts w:ascii="Times New Roman" w:hAnsi="Times New Roman" w:cs="Times New Roman"/>
                      <w:sz w:val="22"/>
                      <w:szCs w:val="22"/>
                    </w:rPr>
                  </w:pPr>
                  <w:r w:rsidRPr="00A24080">
                    <w:rPr>
                      <w:rFonts w:ascii="Times New Roman" w:hAnsi="Times New Roman"/>
                      <w:sz w:val="22"/>
                      <w:szCs w:val="22"/>
                    </w:rPr>
                    <w:lastRenderedPageBreak/>
                    <w:t xml:space="preserve">Subpct.5.12 </w:t>
                  </w:r>
                  <w:r w:rsidR="00EE6234" w:rsidRPr="00A24080">
                    <w:rPr>
                      <w:rFonts w:ascii="Times New Roman" w:hAnsi="Times New Roman"/>
                      <w:sz w:val="22"/>
                      <w:szCs w:val="22"/>
                    </w:rPr>
                    <w:t xml:space="preserve">, </w:t>
                  </w:r>
                  <w:r w:rsidRPr="00A24080">
                    <w:rPr>
                      <w:rFonts w:ascii="Times New Roman" w:hAnsi="Times New Roman"/>
                      <w:sz w:val="22"/>
                      <w:szCs w:val="22"/>
                    </w:rPr>
                    <w:t>titlul I capitolul III secțiunea 3</w:t>
                  </w:r>
                  <w:r w:rsidR="00EE6234" w:rsidRPr="00A24080">
                    <w:rPr>
                      <w:rFonts w:ascii="Times New Roman" w:hAnsi="Times New Roman"/>
                      <w:sz w:val="22"/>
                      <w:szCs w:val="22"/>
                    </w:rPr>
                    <w:t xml:space="preserve"> și </w:t>
                  </w:r>
                  <w:r w:rsidR="00610991" w:rsidRPr="00A24080">
                    <w:rPr>
                      <w:rFonts w:ascii="Times New Roman" w:hAnsi="Times New Roman"/>
                      <w:sz w:val="22"/>
                      <w:szCs w:val="22"/>
                    </w:rPr>
                    <w:t>subpct.80.1 din Regulamentul nr.XX/2026</w:t>
                  </w:r>
                  <w:r w:rsidR="00EE6234" w:rsidRPr="00A24080">
                    <w:rPr>
                      <w:rFonts w:ascii="Times New Roman" w:hAnsi="Times New Roman"/>
                      <w:sz w:val="22"/>
                      <w:szCs w:val="22"/>
                    </w:rPr>
                    <w:t>.</w:t>
                  </w:r>
                </w:p>
                <w:p w14:paraId="348748CF" w14:textId="29CB9E7F" w:rsidR="00EE6234" w:rsidRPr="00A24080" w:rsidRDefault="00F466E1" w:rsidP="0028208B">
                  <w:pPr>
                    <w:framePr w:hSpace="180" w:wrap="around" w:vAnchor="text" w:hAnchor="text" w:x="-612" w:y="1"/>
                    <w:ind w:right="90"/>
                    <w:suppressOverlap/>
                    <w:jc w:val="both"/>
                    <w:rPr>
                      <w:sz w:val="22"/>
                      <w:szCs w:val="22"/>
                      <w:lang w:val="ro-RO"/>
                    </w:rPr>
                  </w:pPr>
                  <w:r w:rsidRPr="00A24080">
                    <w:rPr>
                      <w:sz w:val="22"/>
                      <w:szCs w:val="22"/>
                      <w:lang w:val="ro-RO"/>
                    </w:rPr>
                    <w:t xml:space="preserve">Băncile </w:t>
                  </w:r>
                  <w:r w:rsidR="00EE6234" w:rsidRPr="00A24080">
                    <w:rPr>
                      <w:sz w:val="22"/>
                      <w:szCs w:val="22"/>
                      <w:lang w:val="ro-RO"/>
                    </w:rPr>
                    <w:t xml:space="preserve">raportează separat informațiile pentru pozițiile lungi agregate și pentru pozițiile scurte agregate. </w:t>
                  </w:r>
                  <w:r w:rsidRPr="00A24080">
                    <w:rPr>
                      <w:sz w:val="22"/>
                      <w:szCs w:val="22"/>
                      <w:lang w:val="ro-RO"/>
                    </w:rPr>
                    <w:t xml:space="preserve">Băncile </w:t>
                  </w:r>
                  <w:r w:rsidR="00EE6234" w:rsidRPr="00A24080">
                    <w:rPr>
                      <w:sz w:val="22"/>
                      <w:szCs w:val="22"/>
                      <w:lang w:val="ro-RO"/>
                    </w:rPr>
                    <w:t xml:space="preserve">determină valoarea poziției lungi (scurte) agregate în conformitate cu </w:t>
                  </w:r>
                  <w:r w:rsidR="00610991" w:rsidRPr="00A24080">
                    <w:rPr>
                      <w:sz w:val="22"/>
                      <w:szCs w:val="22"/>
                      <w:lang w:val="ro-RO"/>
                    </w:rPr>
                    <w:t>pct.80-82 din Regulamentul nr.XX/2026</w:t>
                  </w:r>
                  <w:r w:rsidR="00EE6234" w:rsidRPr="00A24080">
                    <w:rPr>
                      <w:sz w:val="22"/>
                      <w:szCs w:val="22"/>
                      <w:lang w:val="ro-RO"/>
                    </w:rPr>
                    <w:t>, cu următoarea derogare: în cazul în care valoarea poziției lungi (scurte) agregate corespunde unei valori de piață nete pozitive, în acest formular se raportează o valoare pozitivă; în cazul în care valoarea poziției lungi (scurte) agregate corespunde unei valori de piață nete negative, se raportează o valoare negativă.</w:t>
                  </w:r>
                </w:p>
              </w:tc>
            </w:tr>
          </w:tbl>
          <w:p w14:paraId="79E79DEE" w14:textId="77777777" w:rsidR="00EE6234" w:rsidRPr="00A24080" w:rsidRDefault="00EE6234" w:rsidP="0028208B">
            <w:pPr>
              <w:ind w:right="90"/>
              <w:jc w:val="both"/>
              <w:rPr>
                <w:sz w:val="22"/>
                <w:szCs w:val="22"/>
                <w:lang w:val="ro-RO"/>
              </w:rPr>
            </w:pPr>
          </w:p>
        </w:tc>
        <w:tc>
          <w:tcPr>
            <w:tcW w:w="1418" w:type="dxa"/>
          </w:tcPr>
          <w:p w14:paraId="45A2A26E" w14:textId="192086ED" w:rsidR="00EE6234"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0B3E3041" w14:textId="77777777" w:rsidR="00EE6234" w:rsidRPr="00A24080" w:rsidRDefault="00EE6234" w:rsidP="0028208B">
            <w:pPr>
              <w:jc w:val="both"/>
              <w:rPr>
                <w:bCs/>
                <w:sz w:val="22"/>
                <w:szCs w:val="22"/>
                <w:lang w:val="ro-RO"/>
              </w:rPr>
            </w:pPr>
          </w:p>
        </w:tc>
      </w:tr>
      <w:tr w:rsidR="00EE6234" w:rsidRPr="00A24080" w14:paraId="68087FA9"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14AF3D6A" w14:textId="77777777" w:rsidTr="003146FA">
              <w:tc>
                <w:tcPr>
                  <w:tcW w:w="1056" w:type="dxa"/>
                </w:tcPr>
                <w:p w14:paraId="5ECB9CE3" w14:textId="78F821F1"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0010</w:t>
                  </w:r>
                </w:p>
              </w:tc>
              <w:tc>
                <w:tcPr>
                  <w:tcW w:w="3861" w:type="dxa"/>
                  <w:vAlign w:val="bottom"/>
                </w:tcPr>
                <w:p w14:paraId="623B1668"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Poziții agregate – din care: în monedă străină</w:t>
                  </w:r>
                </w:p>
                <w:p w14:paraId="444E8E20" w14:textId="0FD7775D"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lang w:val="ro-RO"/>
                    </w:rPr>
                    <w:t>În această coloană se raportează instrumente care sunt denominate în altă monedă decât moneda de raportare, au un instrument-suport denominat într-o astfel de monedă sau au ca suport o poziție pe valută.</w:t>
                  </w:r>
                </w:p>
              </w:tc>
            </w:tr>
          </w:tbl>
          <w:p w14:paraId="204894B5"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05F246D5" w14:textId="77777777" w:rsidTr="003146FA">
              <w:tc>
                <w:tcPr>
                  <w:tcW w:w="1056" w:type="dxa"/>
                </w:tcPr>
                <w:p w14:paraId="275E816D"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0010</w:t>
                  </w:r>
                </w:p>
              </w:tc>
              <w:tc>
                <w:tcPr>
                  <w:tcW w:w="3861" w:type="dxa"/>
                  <w:vAlign w:val="bottom"/>
                </w:tcPr>
                <w:p w14:paraId="6F97FD73"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Poziții agregate – din care: în monedă străină</w:t>
                  </w:r>
                </w:p>
                <w:p w14:paraId="34E3103A"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lang w:val="ro-RO"/>
                    </w:rPr>
                    <w:t>În această coloană se raportează instrumente care sunt denominate în altă monedă decât moneda de raportare, au un instrument-suport denominat într-o astfel de monedă sau au ca suport o poziție pe valută.</w:t>
                  </w:r>
                </w:p>
              </w:tc>
            </w:tr>
          </w:tbl>
          <w:p w14:paraId="1B7D9A28" w14:textId="77777777" w:rsidR="00EE6234" w:rsidRPr="00A24080" w:rsidRDefault="00EE6234" w:rsidP="0028208B">
            <w:pPr>
              <w:ind w:right="90"/>
              <w:jc w:val="both"/>
              <w:rPr>
                <w:sz w:val="22"/>
                <w:szCs w:val="22"/>
                <w:lang w:val="ro-RO"/>
              </w:rPr>
            </w:pPr>
          </w:p>
        </w:tc>
        <w:tc>
          <w:tcPr>
            <w:tcW w:w="1418" w:type="dxa"/>
          </w:tcPr>
          <w:p w14:paraId="3C8F9F10" w14:textId="4EDC56B4"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CD5FAEE" w14:textId="77777777" w:rsidR="00EE6234" w:rsidRPr="00A24080" w:rsidRDefault="00EE6234" w:rsidP="0028208B">
            <w:pPr>
              <w:jc w:val="both"/>
              <w:rPr>
                <w:bCs/>
                <w:sz w:val="22"/>
                <w:szCs w:val="22"/>
                <w:lang w:val="ro-RO"/>
              </w:rPr>
            </w:pPr>
          </w:p>
        </w:tc>
      </w:tr>
      <w:tr w:rsidR="00EE6234" w:rsidRPr="00A24080" w14:paraId="4169B63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10E38233" w14:textId="77777777" w:rsidTr="003146FA">
              <w:tc>
                <w:tcPr>
                  <w:tcW w:w="1056" w:type="dxa"/>
                </w:tcPr>
                <w:p w14:paraId="21D3D28B" w14:textId="1448A1B0"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0020-0120</w:t>
                  </w:r>
                </w:p>
              </w:tc>
              <w:tc>
                <w:tcPr>
                  <w:tcW w:w="3861" w:type="dxa"/>
                  <w:vAlign w:val="bottom"/>
                </w:tcPr>
                <w:p w14:paraId="416F97A5"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Poziții agregate – În mod obligatoriu în portofoliul de tranzacționare</w:t>
                  </w:r>
                </w:p>
                <w:p w14:paraId="5640D977" w14:textId="711967B2"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În cazul în care un instrument îndeplinește mai multe condiții pentru a fi inclus în portofoliul de tranzacționare, instituțiile raportează instrumentul respectiv în coloana pe care o consideră cea mai adecvată dintre coloanele 0030-0120. Instrumentele clasificate ca fiind destinate tranzacționării în conformitate cu cadrul contabil se raportează în coloana 0120 numai dacă nu pot fi încadrate în niciuna dintre coloanele 0030-0110.</w:t>
                  </w:r>
                </w:p>
              </w:tc>
            </w:tr>
          </w:tbl>
          <w:p w14:paraId="002DFB44"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3702CF08" w14:textId="77777777" w:rsidTr="003146FA">
              <w:tc>
                <w:tcPr>
                  <w:tcW w:w="1056" w:type="dxa"/>
                </w:tcPr>
                <w:p w14:paraId="3A9410FA"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lastRenderedPageBreak/>
                    <w:t>0020-0120</w:t>
                  </w:r>
                </w:p>
              </w:tc>
              <w:tc>
                <w:tcPr>
                  <w:tcW w:w="3861" w:type="dxa"/>
                  <w:vAlign w:val="bottom"/>
                </w:tcPr>
                <w:p w14:paraId="5D5C181E"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Poziții agregate – În mod obligatoriu în portofoliul de tranzacționare</w:t>
                  </w:r>
                </w:p>
                <w:p w14:paraId="311613D0" w14:textId="038C27E9"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 xml:space="preserve">În cazul în care un instrument îndeplinește mai multe condiții pentru a fi inclus în portofoliul de tranzacționare, </w:t>
                  </w:r>
                  <w:r w:rsidR="00F466E1" w:rsidRPr="00A24080">
                    <w:rPr>
                      <w:sz w:val="22"/>
                      <w:szCs w:val="22"/>
                      <w:lang w:val="ro-RO"/>
                    </w:rPr>
                    <w:t xml:space="preserve">băncile </w:t>
                  </w:r>
                  <w:r w:rsidRPr="00A24080">
                    <w:rPr>
                      <w:sz w:val="22"/>
                      <w:szCs w:val="22"/>
                      <w:lang w:val="ro-RO"/>
                    </w:rPr>
                    <w:t>raportează instrumentul respectiv în coloana pe care o consideră cea mai adecvată dintre coloanele 0030-0120. Instrumentele clasificate ca fiind destinate tranzacționării în conformitate cu cadrul contabil se raportează în coloana 0120 numai dacă nu pot fi încadrate în niciuna dintre coloanele 0030-0110.</w:t>
                  </w:r>
                </w:p>
              </w:tc>
            </w:tr>
          </w:tbl>
          <w:p w14:paraId="7F0D1A72" w14:textId="77777777" w:rsidR="00EE6234" w:rsidRPr="00A24080" w:rsidRDefault="00EE6234" w:rsidP="0028208B">
            <w:pPr>
              <w:ind w:right="90"/>
              <w:jc w:val="both"/>
              <w:rPr>
                <w:sz w:val="22"/>
                <w:szCs w:val="22"/>
                <w:lang w:val="ro-RO"/>
              </w:rPr>
            </w:pPr>
          </w:p>
        </w:tc>
        <w:tc>
          <w:tcPr>
            <w:tcW w:w="1418" w:type="dxa"/>
          </w:tcPr>
          <w:p w14:paraId="34BC70D7" w14:textId="04E30106" w:rsidR="00EE6234"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C41BFD9" w14:textId="77777777" w:rsidR="00EE6234" w:rsidRPr="00A24080" w:rsidRDefault="00EE6234" w:rsidP="0028208B">
            <w:pPr>
              <w:jc w:val="both"/>
              <w:rPr>
                <w:bCs/>
                <w:sz w:val="22"/>
                <w:szCs w:val="22"/>
                <w:lang w:val="ro-RO"/>
              </w:rPr>
            </w:pPr>
          </w:p>
        </w:tc>
      </w:tr>
      <w:tr w:rsidR="00EE6234" w:rsidRPr="00A24080" w14:paraId="7893B50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20CC4720" w14:textId="77777777" w:rsidTr="003146FA">
              <w:tc>
                <w:tcPr>
                  <w:tcW w:w="1056" w:type="dxa"/>
                </w:tcPr>
                <w:p w14:paraId="1611C76A" w14:textId="087DB738"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0020</w:t>
                  </w:r>
                </w:p>
              </w:tc>
              <w:tc>
                <w:tcPr>
                  <w:tcW w:w="3861" w:type="dxa"/>
                  <w:vAlign w:val="bottom"/>
                </w:tcPr>
                <w:p w14:paraId="431BE927" w14:textId="59EAA507" w:rsidR="00EE6234" w:rsidRPr="00A24080" w:rsidRDefault="00EE6234" w:rsidP="0028208B">
                  <w:pPr>
                    <w:framePr w:hSpace="180" w:wrap="around" w:vAnchor="text" w:hAnchor="text" w:x="-612" w:y="1"/>
                    <w:ind w:right="90"/>
                    <w:suppressOverlap/>
                    <w:jc w:val="both"/>
                    <w:rPr>
                      <w:sz w:val="22"/>
                      <w:szCs w:val="22"/>
                      <w:lang w:val="ro-RO"/>
                    </w:rPr>
                  </w:pPr>
                  <w:r w:rsidRPr="00A24080">
                    <w:rPr>
                      <w:b/>
                      <w:sz w:val="22"/>
                      <w:szCs w:val="22"/>
                      <w:u w:val="single"/>
                      <w:lang w:val="it-IT"/>
                    </w:rPr>
                    <w:t>În mod obligatoriu în portofoliul de tranzacționare</w:t>
                  </w:r>
                </w:p>
              </w:tc>
            </w:tr>
          </w:tbl>
          <w:p w14:paraId="6868529E"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51F68221" w14:textId="77777777" w:rsidTr="003146FA">
              <w:tc>
                <w:tcPr>
                  <w:tcW w:w="1056" w:type="dxa"/>
                </w:tcPr>
                <w:p w14:paraId="01CD2FCA"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0020</w:t>
                  </w:r>
                </w:p>
              </w:tc>
              <w:tc>
                <w:tcPr>
                  <w:tcW w:w="3861" w:type="dxa"/>
                  <w:vAlign w:val="bottom"/>
                </w:tcPr>
                <w:p w14:paraId="37AF0F9B"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b/>
                      <w:sz w:val="22"/>
                      <w:szCs w:val="22"/>
                      <w:u w:val="single"/>
                      <w:lang w:val="it-IT"/>
                    </w:rPr>
                    <w:t>În mod obligatoriu în portofoliul de tranzacționare</w:t>
                  </w:r>
                </w:p>
              </w:tc>
            </w:tr>
          </w:tbl>
          <w:p w14:paraId="05366D0A" w14:textId="77777777" w:rsidR="00EE6234" w:rsidRPr="00A24080" w:rsidRDefault="00EE6234" w:rsidP="0028208B">
            <w:pPr>
              <w:ind w:right="90"/>
              <w:jc w:val="both"/>
              <w:rPr>
                <w:sz w:val="22"/>
                <w:szCs w:val="22"/>
                <w:lang w:val="ro-RO"/>
              </w:rPr>
            </w:pPr>
          </w:p>
        </w:tc>
        <w:tc>
          <w:tcPr>
            <w:tcW w:w="1418" w:type="dxa"/>
          </w:tcPr>
          <w:p w14:paraId="1401D2DB" w14:textId="21BB71DD"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502D435" w14:textId="77777777" w:rsidR="00EE6234" w:rsidRPr="00A24080" w:rsidRDefault="00EE6234" w:rsidP="0028208B">
            <w:pPr>
              <w:jc w:val="both"/>
              <w:rPr>
                <w:bCs/>
                <w:sz w:val="22"/>
                <w:szCs w:val="22"/>
                <w:lang w:val="ro-RO"/>
              </w:rPr>
            </w:pPr>
          </w:p>
        </w:tc>
      </w:tr>
      <w:tr w:rsidR="00EE6234" w:rsidRPr="00EE7DB0" w14:paraId="62DF9039"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319813A7" w14:textId="77777777" w:rsidTr="003146FA">
              <w:tc>
                <w:tcPr>
                  <w:tcW w:w="1056" w:type="dxa"/>
                </w:tcPr>
                <w:p w14:paraId="57D154D0" w14:textId="2DAC2C32"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412834FC" w14:textId="77777777"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Instrumente din portofoliul de tranzacționare pe bază de corelație alternativă (ACTP)</w:t>
                  </w:r>
                </w:p>
                <w:p w14:paraId="14AFA6A0" w14:textId="3E857194"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lang w:val="ro-RO"/>
                    </w:rPr>
                    <w:t>Articolul 104 alineatul (2) primul paragraf litera (a) din Regulamentul (UE) 575/2013</w:t>
                  </w:r>
                </w:p>
              </w:tc>
            </w:tr>
          </w:tbl>
          <w:p w14:paraId="633C2016"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3CA23483" w14:textId="77777777" w:rsidTr="003146FA">
              <w:tc>
                <w:tcPr>
                  <w:tcW w:w="1056" w:type="dxa"/>
                </w:tcPr>
                <w:p w14:paraId="690A7F2C"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tcPr>
                <w:p w14:paraId="52BD9845" w14:textId="3723DAAA" w:rsidR="00EE6234" w:rsidRPr="00A24080" w:rsidRDefault="00EE6234" w:rsidP="0028208B">
                  <w:pPr>
                    <w:pStyle w:val="BodyText"/>
                    <w:framePr w:hSpace="180" w:wrap="around" w:vAnchor="text" w:hAnchor="text" w:x="-612" w:y="1"/>
                    <w:spacing w:before="120" w:after="120"/>
                    <w:suppressOverlap/>
                    <w:rPr>
                      <w:rFonts w:ascii="Times New Roman" w:hAnsi="Times New Roman" w:cs="Times New Roman"/>
                      <w:b/>
                      <w:sz w:val="22"/>
                      <w:szCs w:val="22"/>
                      <w:u w:val="single"/>
                    </w:rPr>
                  </w:pPr>
                  <w:r w:rsidRPr="00A24080">
                    <w:rPr>
                      <w:rFonts w:ascii="Times New Roman" w:hAnsi="Times New Roman"/>
                      <w:b/>
                      <w:sz w:val="22"/>
                      <w:szCs w:val="22"/>
                      <w:u w:val="single"/>
                    </w:rPr>
                    <w:t xml:space="preserve">Instrumente </w:t>
                  </w:r>
                  <w:r w:rsidR="00EF2209">
                    <w:rPr>
                      <w:rFonts w:ascii="Times New Roman" w:hAnsi="Times New Roman"/>
                      <w:b/>
                      <w:sz w:val="22"/>
                      <w:szCs w:val="22"/>
                      <w:u w:val="single"/>
                    </w:rPr>
                    <w:t>incluse în</w:t>
                  </w:r>
                  <w:r w:rsidR="00EF2209" w:rsidRPr="00A24080">
                    <w:rPr>
                      <w:rFonts w:ascii="Times New Roman" w:hAnsi="Times New Roman"/>
                      <w:b/>
                      <w:sz w:val="22"/>
                      <w:szCs w:val="22"/>
                      <w:u w:val="single"/>
                    </w:rPr>
                    <w:t xml:space="preserve"> </w:t>
                  </w:r>
                  <w:r w:rsidRPr="00A24080">
                    <w:rPr>
                      <w:rFonts w:ascii="Times New Roman" w:hAnsi="Times New Roman"/>
                      <w:b/>
                      <w:sz w:val="22"/>
                      <w:szCs w:val="22"/>
                      <w:u w:val="single"/>
                    </w:rPr>
                    <w:t>portofoliul de tranzacționare pe bază de corelație alternativă (ACTP)</w:t>
                  </w:r>
                </w:p>
                <w:p w14:paraId="4E876E60" w14:textId="32E3CAD8" w:rsidR="00EE6234" w:rsidRPr="00A24080" w:rsidRDefault="00A55D0A" w:rsidP="0028208B">
                  <w:pPr>
                    <w:framePr w:hSpace="180" w:wrap="around" w:vAnchor="text" w:hAnchor="text" w:x="-612" w:y="1"/>
                    <w:ind w:right="90"/>
                    <w:suppressOverlap/>
                    <w:jc w:val="both"/>
                    <w:rPr>
                      <w:sz w:val="22"/>
                      <w:szCs w:val="22"/>
                      <w:lang w:val="ro-RO"/>
                    </w:rPr>
                  </w:pPr>
                  <w:r w:rsidRPr="00A24080">
                    <w:rPr>
                      <w:sz w:val="22"/>
                      <w:szCs w:val="22"/>
                      <w:lang w:val="ro-RO"/>
                    </w:rPr>
                    <w:t>Subpct.16.1 din Regulamentul nr.XX/2026</w:t>
                  </w:r>
                </w:p>
              </w:tc>
            </w:tr>
          </w:tbl>
          <w:p w14:paraId="14A7DD49" w14:textId="77777777" w:rsidR="00EE6234" w:rsidRPr="00A24080" w:rsidRDefault="00EE6234" w:rsidP="0028208B">
            <w:pPr>
              <w:ind w:right="90"/>
              <w:jc w:val="both"/>
              <w:rPr>
                <w:sz w:val="22"/>
                <w:szCs w:val="22"/>
                <w:lang w:val="ro-RO"/>
              </w:rPr>
            </w:pPr>
          </w:p>
        </w:tc>
        <w:tc>
          <w:tcPr>
            <w:tcW w:w="1418" w:type="dxa"/>
          </w:tcPr>
          <w:p w14:paraId="06E10593" w14:textId="34F26EBB"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19F99E5" w14:textId="5928C198" w:rsidR="00EE6234" w:rsidRPr="00A24080" w:rsidRDefault="00EF2209" w:rsidP="0028208B">
            <w:pPr>
              <w:jc w:val="both"/>
              <w:rPr>
                <w:bCs/>
                <w:sz w:val="22"/>
                <w:szCs w:val="22"/>
                <w:lang w:val="ro-RO"/>
              </w:rPr>
            </w:pPr>
            <w:r>
              <w:rPr>
                <w:bCs/>
                <w:sz w:val="22"/>
                <w:szCs w:val="22"/>
                <w:lang w:val="ro-RO"/>
              </w:rPr>
              <w:t>Denumirea coloanei 0030 ajustată cu denumirea acesteia din formularul C 90.05</w:t>
            </w:r>
          </w:p>
        </w:tc>
      </w:tr>
      <w:tr w:rsidR="00EE6234" w:rsidRPr="00EE7DB0" w14:paraId="5CCF46A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455406B2" w14:textId="77777777" w:rsidTr="003146FA">
              <w:tc>
                <w:tcPr>
                  <w:tcW w:w="1056" w:type="dxa"/>
                </w:tcPr>
                <w:p w14:paraId="3236CB1B" w14:textId="187DFB92"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tcPr>
                <w:p w14:paraId="3428D32D"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care ar da naștere unei poziții scurte nete de credit sau unei poziții scurte nete pe titluri de capital din portofoliul bancar</w:t>
                  </w:r>
                </w:p>
                <w:p w14:paraId="7B1A91B0" w14:textId="1D3A3599"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(b) din Regulamentul (UE) 575/2013</w:t>
                  </w:r>
                </w:p>
              </w:tc>
            </w:tr>
          </w:tbl>
          <w:p w14:paraId="5EB90F6A"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EE7DB0" w14:paraId="5C9B87F4" w14:textId="77777777" w:rsidTr="003146FA">
              <w:tc>
                <w:tcPr>
                  <w:tcW w:w="1056" w:type="dxa"/>
                </w:tcPr>
                <w:p w14:paraId="35C5650D"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tcPr>
                <w:p w14:paraId="6CF3B60A" w14:textId="2468E028" w:rsidR="00EE6234" w:rsidRPr="00A24080" w:rsidRDefault="00EF2209" w:rsidP="0028208B">
                  <w:pPr>
                    <w:framePr w:hSpace="180" w:wrap="around" w:vAnchor="text" w:hAnchor="text" w:x="-612" w:y="1"/>
                    <w:ind w:right="90"/>
                    <w:suppressOverlap/>
                    <w:jc w:val="both"/>
                    <w:rPr>
                      <w:sz w:val="22"/>
                      <w:szCs w:val="22"/>
                      <w:lang w:val="ro-RO"/>
                    </w:rPr>
                  </w:pPr>
                  <w:r w:rsidRPr="00EE7DB0">
                    <w:rPr>
                      <w:b/>
                      <w:sz w:val="22"/>
                      <w:szCs w:val="22"/>
                      <w:u w:val="single"/>
                      <w:lang w:val="pt-BR"/>
                    </w:rPr>
                    <w:t xml:space="preserve">Instrumente care ar genera o poziție scurtă netă sau o poziție pe titluri de capital în portofoliul bancar </w:t>
                  </w:r>
                  <w:r w:rsidR="00A55D0A" w:rsidRPr="00A24080">
                    <w:rPr>
                      <w:sz w:val="22"/>
                      <w:szCs w:val="22"/>
                      <w:lang w:val="ro-RO"/>
                    </w:rPr>
                    <w:t>Subpct.16.2 din Regulamentul nr.XX/2026</w:t>
                  </w:r>
                </w:p>
              </w:tc>
            </w:tr>
          </w:tbl>
          <w:p w14:paraId="7C914958" w14:textId="77777777" w:rsidR="00EE6234" w:rsidRPr="00A24080" w:rsidRDefault="00EE6234" w:rsidP="0028208B">
            <w:pPr>
              <w:ind w:right="90"/>
              <w:jc w:val="both"/>
              <w:rPr>
                <w:sz w:val="22"/>
                <w:szCs w:val="22"/>
                <w:lang w:val="ro-RO"/>
              </w:rPr>
            </w:pPr>
          </w:p>
        </w:tc>
        <w:tc>
          <w:tcPr>
            <w:tcW w:w="1418" w:type="dxa"/>
          </w:tcPr>
          <w:p w14:paraId="6CB7AE20" w14:textId="4A81D483"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D9FF6E3" w14:textId="6F70FC9A" w:rsidR="00EE6234" w:rsidRPr="00A24080" w:rsidRDefault="00EF2209" w:rsidP="0028208B">
            <w:pPr>
              <w:jc w:val="both"/>
              <w:rPr>
                <w:bCs/>
                <w:sz w:val="22"/>
                <w:szCs w:val="22"/>
                <w:lang w:val="ro-RO"/>
              </w:rPr>
            </w:pPr>
            <w:r w:rsidRPr="00EF2209">
              <w:rPr>
                <w:bCs/>
                <w:sz w:val="22"/>
                <w:szCs w:val="22"/>
                <w:lang w:val="ro-RO"/>
              </w:rPr>
              <w:t>Denumirea coloanei 00</w:t>
            </w:r>
            <w:r>
              <w:rPr>
                <w:bCs/>
                <w:sz w:val="22"/>
                <w:szCs w:val="22"/>
                <w:lang w:val="ro-RO"/>
              </w:rPr>
              <w:t>4</w:t>
            </w:r>
            <w:r w:rsidRPr="00EF2209">
              <w:rPr>
                <w:bCs/>
                <w:sz w:val="22"/>
                <w:szCs w:val="22"/>
                <w:lang w:val="ro-RO"/>
              </w:rPr>
              <w:t>0 ajustată cu denumirea acesteia din formularul C 90.05</w:t>
            </w:r>
          </w:p>
        </w:tc>
      </w:tr>
      <w:tr w:rsidR="00EE6234" w:rsidRPr="00A24080" w14:paraId="5C44575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326515C2" w14:textId="77777777" w:rsidTr="003146FA">
              <w:tc>
                <w:tcPr>
                  <w:tcW w:w="1056" w:type="dxa"/>
                </w:tcPr>
                <w:p w14:paraId="4391BAF2" w14:textId="3E800FFC"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0050</w:t>
                  </w:r>
                </w:p>
              </w:tc>
              <w:tc>
                <w:tcPr>
                  <w:tcW w:w="3861" w:type="dxa"/>
                </w:tcPr>
                <w:p w14:paraId="51F20BE4"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care rezultă din angajamente de subscrieri de titluri de valoare</w:t>
                  </w:r>
                </w:p>
                <w:p w14:paraId="48BDBF6A" w14:textId="4DBEFF65"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lastRenderedPageBreak/>
                    <w:t>Articolul 104 alineatul (2) primul paragraf litera (c) din Regulamentul (UE) 575/2013</w:t>
                  </w:r>
                </w:p>
              </w:tc>
            </w:tr>
          </w:tbl>
          <w:p w14:paraId="71D69480"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279FF60D" w14:textId="77777777" w:rsidTr="003146FA">
              <w:tc>
                <w:tcPr>
                  <w:tcW w:w="1056" w:type="dxa"/>
                </w:tcPr>
                <w:p w14:paraId="6FB2A7A7"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lastRenderedPageBreak/>
                    <w:t>0050</w:t>
                  </w:r>
                </w:p>
              </w:tc>
              <w:tc>
                <w:tcPr>
                  <w:tcW w:w="3861" w:type="dxa"/>
                </w:tcPr>
                <w:p w14:paraId="33D69639"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care rezultă din angajamente de subscrieri de titluri de valoare</w:t>
                  </w:r>
                </w:p>
                <w:p w14:paraId="4A4DD98E" w14:textId="060A537F" w:rsidR="00EE6234" w:rsidRPr="00A24080" w:rsidRDefault="00A55D0A" w:rsidP="0028208B">
                  <w:pPr>
                    <w:framePr w:hSpace="180" w:wrap="around" w:vAnchor="text" w:hAnchor="text" w:x="-612" w:y="1"/>
                    <w:ind w:right="90"/>
                    <w:suppressOverlap/>
                    <w:jc w:val="both"/>
                    <w:rPr>
                      <w:sz w:val="22"/>
                      <w:szCs w:val="22"/>
                      <w:lang w:val="ro-RO"/>
                    </w:rPr>
                  </w:pPr>
                  <w:r w:rsidRPr="00A24080">
                    <w:rPr>
                      <w:sz w:val="22"/>
                      <w:szCs w:val="22"/>
                      <w:lang w:val="ro-RO"/>
                    </w:rPr>
                    <w:lastRenderedPageBreak/>
                    <w:t>Subpct.16.3 din Regulamentul nr.XX/2026</w:t>
                  </w:r>
                </w:p>
              </w:tc>
            </w:tr>
          </w:tbl>
          <w:p w14:paraId="500BE284" w14:textId="77777777" w:rsidR="00EE6234" w:rsidRPr="00A24080" w:rsidRDefault="00EE6234" w:rsidP="0028208B">
            <w:pPr>
              <w:ind w:right="90"/>
              <w:jc w:val="both"/>
              <w:rPr>
                <w:sz w:val="22"/>
                <w:szCs w:val="22"/>
                <w:lang w:val="ro-RO"/>
              </w:rPr>
            </w:pPr>
          </w:p>
        </w:tc>
        <w:tc>
          <w:tcPr>
            <w:tcW w:w="1418" w:type="dxa"/>
          </w:tcPr>
          <w:p w14:paraId="72FDD112" w14:textId="7038B44E" w:rsidR="00EE6234"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0E4A87B1" w14:textId="77777777" w:rsidR="00EE6234" w:rsidRPr="00A24080" w:rsidRDefault="00EE6234" w:rsidP="0028208B">
            <w:pPr>
              <w:jc w:val="both"/>
              <w:rPr>
                <w:bCs/>
                <w:sz w:val="22"/>
                <w:szCs w:val="22"/>
                <w:lang w:val="ro-RO"/>
              </w:rPr>
            </w:pPr>
          </w:p>
        </w:tc>
      </w:tr>
      <w:tr w:rsidR="00EE6234" w:rsidRPr="00A24080" w14:paraId="73C7829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2ED74676" w14:textId="77777777" w:rsidTr="003146FA">
              <w:tc>
                <w:tcPr>
                  <w:tcW w:w="1056" w:type="dxa"/>
                </w:tcPr>
                <w:p w14:paraId="6B007B8E" w14:textId="58B5CAC2"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tcPr>
                <w:p w14:paraId="51305715"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care rezultă din activități de formare a pieței</w:t>
                  </w:r>
                </w:p>
                <w:p w14:paraId="0C90ECC0" w14:textId="46899BF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(e) din Regulamentul (UE) 575/2013</w:t>
                  </w:r>
                </w:p>
              </w:tc>
            </w:tr>
          </w:tbl>
          <w:p w14:paraId="6CA992DB"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710E23D7" w14:textId="77777777" w:rsidTr="003146FA">
              <w:tc>
                <w:tcPr>
                  <w:tcW w:w="1056" w:type="dxa"/>
                </w:tcPr>
                <w:p w14:paraId="3EAF25EB"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tcPr>
                <w:p w14:paraId="604E7000"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care rezultă din activități de formare a pieței</w:t>
                  </w:r>
                </w:p>
                <w:p w14:paraId="3C2BA2B7" w14:textId="5531ED8D" w:rsidR="00EE6234" w:rsidRPr="00A24080" w:rsidRDefault="00A55D0A" w:rsidP="0028208B">
                  <w:pPr>
                    <w:framePr w:hSpace="180" w:wrap="around" w:vAnchor="text" w:hAnchor="text" w:x="-612" w:y="1"/>
                    <w:ind w:right="90"/>
                    <w:suppressOverlap/>
                    <w:jc w:val="both"/>
                    <w:rPr>
                      <w:sz w:val="22"/>
                      <w:szCs w:val="22"/>
                      <w:lang w:val="ro-RO"/>
                    </w:rPr>
                  </w:pPr>
                  <w:r w:rsidRPr="00A24080">
                    <w:rPr>
                      <w:sz w:val="22"/>
                      <w:szCs w:val="22"/>
                      <w:lang w:val="ro-RO"/>
                    </w:rPr>
                    <w:t>Subpct.16.5 din Regulamentul nr.XX/2026</w:t>
                  </w:r>
                </w:p>
              </w:tc>
            </w:tr>
          </w:tbl>
          <w:p w14:paraId="4073D9AA" w14:textId="77777777" w:rsidR="00EE6234" w:rsidRPr="00A24080" w:rsidRDefault="00EE6234" w:rsidP="0028208B">
            <w:pPr>
              <w:ind w:right="90"/>
              <w:jc w:val="both"/>
              <w:rPr>
                <w:sz w:val="22"/>
                <w:szCs w:val="22"/>
                <w:lang w:val="ro-RO"/>
              </w:rPr>
            </w:pPr>
          </w:p>
        </w:tc>
        <w:tc>
          <w:tcPr>
            <w:tcW w:w="1418" w:type="dxa"/>
          </w:tcPr>
          <w:p w14:paraId="37721D35" w14:textId="3902F7CB"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FD75AEA" w14:textId="77777777" w:rsidR="00EE6234" w:rsidRPr="00A24080" w:rsidRDefault="00EE6234" w:rsidP="0028208B">
            <w:pPr>
              <w:jc w:val="both"/>
              <w:rPr>
                <w:bCs/>
                <w:sz w:val="22"/>
                <w:szCs w:val="22"/>
                <w:lang w:val="ro-RO"/>
              </w:rPr>
            </w:pPr>
          </w:p>
        </w:tc>
      </w:tr>
      <w:tr w:rsidR="00EE6234" w:rsidRPr="00A24080" w14:paraId="28A537E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4982AB19" w14:textId="77777777" w:rsidTr="003146FA">
              <w:tc>
                <w:tcPr>
                  <w:tcW w:w="1056" w:type="dxa"/>
                </w:tcPr>
                <w:p w14:paraId="3F555E5C" w14:textId="7930DCDF"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62964C33"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OPC-uri</w:t>
                  </w:r>
                </w:p>
                <w:p w14:paraId="4911C36B" w14:textId="3AF61DAA"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(f) din Regulamentul (UE) 575/2013</w:t>
                  </w:r>
                </w:p>
              </w:tc>
            </w:tr>
          </w:tbl>
          <w:p w14:paraId="2AB1B4FE"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24EBA3E1" w14:textId="77777777" w:rsidTr="003146FA">
              <w:tc>
                <w:tcPr>
                  <w:tcW w:w="1056" w:type="dxa"/>
                </w:tcPr>
                <w:p w14:paraId="4681D562"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tcPr>
                <w:p w14:paraId="7DE3E830"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OPC-uri</w:t>
                  </w:r>
                </w:p>
                <w:p w14:paraId="2B4F869B" w14:textId="77731FD3" w:rsidR="00EE6234" w:rsidRPr="00A24080" w:rsidRDefault="00A55D0A" w:rsidP="0028208B">
                  <w:pPr>
                    <w:framePr w:hSpace="180" w:wrap="around" w:vAnchor="text" w:hAnchor="text" w:x="-612" w:y="1"/>
                    <w:ind w:right="90"/>
                    <w:suppressOverlap/>
                    <w:jc w:val="both"/>
                    <w:rPr>
                      <w:sz w:val="22"/>
                      <w:szCs w:val="22"/>
                      <w:lang w:val="ro-RO"/>
                    </w:rPr>
                  </w:pPr>
                  <w:r w:rsidRPr="00A24080">
                    <w:rPr>
                      <w:sz w:val="22"/>
                      <w:szCs w:val="22"/>
                      <w:lang w:val="ro-RO"/>
                    </w:rPr>
                    <w:t>Subpct.16.6 din Regulamentul nr.XX/2026</w:t>
                  </w:r>
                </w:p>
              </w:tc>
            </w:tr>
          </w:tbl>
          <w:p w14:paraId="7E79475E" w14:textId="77777777" w:rsidR="00EE6234" w:rsidRPr="00A24080" w:rsidRDefault="00EE6234" w:rsidP="0028208B">
            <w:pPr>
              <w:ind w:right="90"/>
              <w:jc w:val="both"/>
              <w:rPr>
                <w:sz w:val="22"/>
                <w:szCs w:val="22"/>
                <w:lang w:val="ro-RO"/>
              </w:rPr>
            </w:pPr>
          </w:p>
        </w:tc>
        <w:tc>
          <w:tcPr>
            <w:tcW w:w="1418" w:type="dxa"/>
          </w:tcPr>
          <w:p w14:paraId="0DB3CBDA" w14:textId="559F4DAC"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5A0107C" w14:textId="77777777" w:rsidR="00EE6234" w:rsidRPr="00A24080" w:rsidRDefault="00EE6234" w:rsidP="0028208B">
            <w:pPr>
              <w:jc w:val="both"/>
              <w:rPr>
                <w:bCs/>
                <w:sz w:val="22"/>
                <w:szCs w:val="22"/>
                <w:lang w:val="ro-RO"/>
              </w:rPr>
            </w:pPr>
          </w:p>
        </w:tc>
      </w:tr>
      <w:tr w:rsidR="00EE6234" w:rsidRPr="00A24080" w14:paraId="0F79101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7CB1F49D" w14:textId="77777777" w:rsidTr="003146FA">
              <w:tc>
                <w:tcPr>
                  <w:tcW w:w="1056" w:type="dxa"/>
                </w:tcPr>
                <w:p w14:paraId="34EAC602" w14:textId="231F7F56"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0A64C0EA"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Titluri de capital cotate</w:t>
                  </w:r>
                </w:p>
                <w:p w14:paraId="2DBB1218" w14:textId="56498D19"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(g) din Regulamentul (UE) 575/2013</w:t>
                  </w:r>
                </w:p>
              </w:tc>
            </w:tr>
          </w:tbl>
          <w:p w14:paraId="4BA4224E"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EE6234" w:rsidRPr="00A24080" w14:paraId="11DA1899" w14:textId="77777777" w:rsidTr="003146FA">
              <w:tc>
                <w:tcPr>
                  <w:tcW w:w="1056" w:type="dxa"/>
                </w:tcPr>
                <w:p w14:paraId="7EFAB1B8" w14:textId="77777777" w:rsidR="00EE6234" w:rsidRPr="00A24080" w:rsidRDefault="00EE6234"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tcPr>
                <w:p w14:paraId="7280EEE1" w14:textId="77777777" w:rsidR="00EE6234" w:rsidRPr="00A24080" w:rsidRDefault="00EE6234"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Titluri de capital cotate</w:t>
                  </w:r>
                </w:p>
                <w:p w14:paraId="57592480" w14:textId="1698C72F" w:rsidR="00EE6234" w:rsidRPr="00A24080" w:rsidRDefault="00A55D0A" w:rsidP="0028208B">
                  <w:pPr>
                    <w:framePr w:hSpace="180" w:wrap="around" w:vAnchor="text" w:hAnchor="text" w:x="-612" w:y="1"/>
                    <w:ind w:right="90"/>
                    <w:suppressOverlap/>
                    <w:jc w:val="both"/>
                    <w:rPr>
                      <w:sz w:val="22"/>
                      <w:szCs w:val="22"/>
                      <w:lang w:val="ro-RO"/>
                    </w:rPr>
                  </w:pPr>
                  <w:r w:rsidRPr="00A24080">
                    <w:rPr>
                      <w:sz w:val="22"/>
                      <w:szCs w:val="22"/>
                      <w:lang w:val="ro-RO"/>
                    </w:rPr>
                    <w:t>Subpct.16.7 din Regulamentul nr.XX/2026</w:t>
                  </w:r>
                </w:p>
              </w:tc>
            </w:tr>
          </w:tbl>
          <w:p w14:paraId="72C4E12D" w14:textId="77777777" w:rsidR="00EE6234" w:rsidRPr="00A24080" w:rsidRDefault="00EE6234" w:rsidP="0028208B">
            <w:pPr>
              <w:ind w:right="90"/>
              <w:jc w:val="both"/>
              <w:rPr>
                <w:sz w:val="22"/>
                <w:szCs w:val="22"/>
                <w:lang w:val="ro-RO"/>
              </w:rPr>
            </w:pPr>
          </w:p>
        </w:tc>
        <w:tc>
          <w:tcPr>
            <w:tcW w:w="1418" w:type="dxa"/>
          </w:tcPr>
          <w:p w14:paraId="05FF6932" w14:textId="0E9349C9"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27361BB" w14:textId="77777777" w:rsidR="00EE6234" w:rsidRPr="00A24080" w:rsidRDefault="00EE6234" w:rsidP="0028208B">
            <w:pPr>
              <w:jc w:val="both"/>
              <w:rPr>
                <w:bCs/>
                <w:sz w:val="22"/>
                <w:szCs w:val="22"/>
                <w:lang w:val="ro-RO"/>
              </w:rPr>
            </w:pPr>
          </w:p>
        </w:tc>
      </w:tr>
      <w:tr w:rsidR="006F6037" w:rsidRPr="00A24080" w14:paraId="11F3151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533AACE6" w14:textId="77777777" w:rsidTr="003146FA">
              <w:tc>
                <w:tcPr>
                  <w:tcW w:w="1056" w:type="dxa"/>
                </w:tcPr>
                <w:p w14:paraId="52021954" w14:textId="092E5AEC"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tcPr>
                <w:p w14:paraId="5262CE13"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SFT-uri legate de tranzacționare</w:t>
                  </w:r>
                </w:p>
                <w:p w14:paraId="359293BE" w14:textId="33888D8A"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(h) din Regulamentul (UE) 575/2013</w:t>
                  </w:r>
                </w:p>
              </w:tc>
            </w:tr>
          </w:tbl>
          <w:p w14:paraId="5B7D9C2E"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0C9A437C" w14:textId="77777777" w:rsidTr="003146FA">
              <w:tc>
                <w:tcPr>
                  <w:tcW w:w="1056" w:type="dxa"/>
                </w:tcPr>
                <w:p w14:paraId="39779F3B"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tcPr>
                <w:p w14:paraId="3D247CBD"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SFT-uri legate de tranzacționare</w:t>
                  </w:r>
                </w:p>
                <w:p w14:paraId="3BD2447D" w14:textId="62192F9E" w:rsidR="006F6037" w:rsidRPr="00A24080" w:rsidRDefault="00A55D0A" w:rsidP="0028208B">
                  <w:pPr>
                    <w:framePr w:hSpace="180" w:wrap="around" w:vAnchor="text" w:hAnchor="text" w:x="-612" w:y="1"/>
                    <w:ind w:right="90"/>
                    <w:suppressOverlap/>
                    <w:jc w:val="both"/>
                    <w:rPr>
                      <w:sz w:val="22"/>
                      <w:szCs w:val="22"/>
                      <w:lang w:val="ro-RO"/>
                    </w:rPr>
                  </w:pPr>
                  <w:r w:rsidRPr="00A24080">
                    <w:rPr>
                      <w:sz w:val="22"/>
                      <w:szCs w:val="22"/>
                      <w:lang w:val="ro-RO"/>
                    </w:rPr>
                    <w:t>Subpct.16.8 din Regulamentul nr.XX/2026</w:t>
                  </w:r>
                </w:p>
              </w:tc>
            </w:tr>
          </w:tbl>
          <w:p w14:paraId="7CDD86F2" w14:textId="77777777" w:rsidR="006F6037" w:rsidRPr="00A24080" w:rsidRDefault="006F6037" w:rsidP="0028208B">
            <w:pPr>
              <w:ind w:right="90"/>
              <w:jc w:val="both"/>
              <w:rPr>
                <w:sz w:val="22"/>
                <w:szCs w:val="22"/>
                <w:lang w:val="ro-RO"/>
              </w:rPr>
            </w:pPr>
          </w:p>
        </w:tc>
        <w:tc>
          <w:tcPr>
            <w:tcW w:w="1418" w:type="dxa"/>
          </w:tcPr>
          <w:p w14:paraId="598EE3E1" w14:textId="707E742F"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9C91337" w14:textId="77777777" w:rsidR="006F6037" w:rsidRPr="00A24080" w:rsidRDefault="006F6037" w:rsidP="0028208B">
            <w:pPr>
              <w:jc w:val="both"/>
              <w:rPr>
                <w:bCs/>
                <w:sz w:val="22"/>
                <w:szCs w:val="22"/>
                <w:lang w:val="ro-RO"/>
              </w:rPr>
            </w:pPr>
          </w:p>
        </w:tc>
      </w:tr>
      <w:tr w:rsidR="006F6037" w:rsidRPr="00A24080" w14:paraId="3F5C5A98"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2A1C51D7" w14:textId="77777777" w:rsidTr="003146FA">
              <w:tc>
                <w:tcPr>
                  <w:tcW w:w="1056" w:type="dxa"/>
                </w:tcPr>
                <w:p w14:paraId="0D07DB55" w14:textId="0403580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tcPr>
                <w:p w14:paraId="0F54AE95"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Opțiuni sau alte instrumente financiare derivate încorporate în datoriile proprii ale instituției (defalcate)</w:t>
                  </w:r>
                </w:p>
                <w:p w14:paraId="01761550" w14:textId="3EBA39C9"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(i) din Regulamentul (UE) 575/2013</w:t>
                  </w:r>
                </w:p>
              </w:tc>
            </w:tr>
          </w:tbl>
          <w:p w14:paraId="1B02CFBD"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47621489" w14:textId="77777777" w:rsidTr="003146FA">
              <w:tc>
                <w:tcPr>
                  <w:tcW w:w="1056" w:type="dxa"/>
                </w:tcPr>
                <w:p w14:paraId="151B97E2"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tcPr>
                <w:p w14:paraId="5E9E768B" w14:textId="7B449EBB"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Opțiuni sau alte instrumente financiare derivate încorporate în datoriile proprii ale </w:t>
                  </w:r>
                  <w:r w:rsidR="00F466E1" w:rsidRPr="00A24080">
                    <w:rPr>
                      <w:rFonts w:ascii="Times New Roman" w:hAnsi="Times New Roman"/>
                      <w:b/>
                      <w:sz w:val="22"/>
                      <w:szCs w:val="22"/>
                      <w:u w:val="single"/>
                    </w:rPr>
                    <w:t xml:space="preserve">băncii </w:t>
                  </w:r>
                  <w:r w:rsidRPr="00A24080">
                    <w:rPr>
                      <w:rFonts w:ascii="Times New Roman" w:hAnsi="Times New Roman"/>
                      <w:b/>
                      <w:sz w:val="22"/>
                      <w:szCs w:val="22"/>
                      <w:u w:val="single"/>
                    </w:rPr>
                    <w:t>(defalcate)</w:t>
                  </w:r>
                </w:p>
                <w:p w14:paraId="00368A3E" w14:textId="6194815B" w:rsidR="006F6037" w:rsidRPr="00A24080" w:rsidRDefault="004308B6" w:rsidP="0028208B">
                  <w:pPr>
                    <w:framePr w:hSpace="180" w:wrap="around" w:vAnchor="text" w:hAnchor="text" w:x="-612" w:y="1"/>
                    <w:ind w:right="90"/>
                    <w:suppressOverlap/>
                    <w:jc w:val="both"/>
                    <w:rPr>
                      <w:sz w:val="22"/>
                      <w:szCs w:val="22"/>
                      <w:lang w:val="ro-RO"/>
                    </w:rPr>
                  </w:pPr>
                  <w:r w:rsidRPr="00A24080">
                    <w:rPr>
                      <w:sz w:val="22"/>
                      <w:szCs w:val="22"/>
                      <w:lang w:val="ro-RO"/>
                    </w:rPr>
                    <w:t>Subpct.16.9 din Regulamentul nr.XX/2026</w:t>
                  </w:r>
                </w:p>
              </w:tc>
            </w:tr>
          </w:tbl>
          <w:p w14:paraId="55E836AA" w14:textId="77777777" w:rsidR="006F6037" w:rsidRPr="00A24080" w:rsidRDefault="006F6037" w:rsidP="0028208B">
            <w:pPr>
              <w:ind w:right="90"/>
              <w:jc w:val="both"/>
              <w:rPr>
                <w:sz w:val="22"/>
                <w:szCs w:val="22"/>
                <w:lang w:val="ro-RO"/>
              </w:rPr>
            </w:pPr>
          </w:p>
        </w:tc>
        <w:tc>
          <w:tcPr>
            <w:tcW w:w="1418" w:type="dxa"/>
          </w:tcPr>
          <w:p w14:paraId="4885E9A7" w14:textId="40050084"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46199F6" w14:textId="77777777" w:rsidR="006F6037" w:rsidRPr="00A24080" w:rsidRDefault="006F6037" w:rsidP="0028208B">
            <w:pPr>
              <w:jc w:val="both"/>
              <w:rPr>
                <w:bCs/>
                <w:sz w:val="22"/>
                <w:szCs w:val="22"/>
                <w:lang w:val="ro-RO"/>
              </w:rPr>
            </w:pPr>
          </w:p>
        </w:tc>
      </w:tr>
      <w:tr w:rsidR="006F6037" w:rsidRPr="00A24080" w14:paraId="5CCC903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04172042" w14:textId="77777777" w:rsidTr="003146FA">
              <w:tc>
                <w:tcPr>
                  <w:tcW w:w="1056" w:type="dxa"/>
                </w:tcPr>
                <w:p w14:paraId="1B7C6C4B" w14:textId="7D3AB3AA"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lastRenderedPageBreak/>
                    <w:t>0110</w:t>
                  </w:r>
                </w:p>
              </w:tc>
              <w:tc>
                <w:tcPr>
                  <w:tcW w:w="3861" w:type="dxa"/>
                </w:tcPr>
                <w:p w14:paraId="500B69F5"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Datorii proprii ale instituției cu opțiuni încorporate sau alte instrumente derivate (nedefalcate)</w:t>
                  </w:r>
                </w:p>
                <w:p w14:paraId="0F53274B" w14:textId="60ECB6BE"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Articolul 104 alineatul (2) primul paragraf litera (i) și al patrulea paragraf din Regulamentul (UE) 575/2013</w:t>
                  </w:r>
                </w:p>
              </w:tc>
            </w:tr>
          </w:tbl>
          <w:p w14:paraId="6A073870"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20FF2240" w14:textId="77777777" w:rsidTr="003146FA">
              <w:tc>
                <w:tcPr>
                  <w:tcW w:w="1056" w:type="dxa"/>
                </w:tcPr>
                <w:p w14:paraId="18BAA576"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0110</w:t>
                  </w:r>
                </w:p>
              </w:tc>
              <w:tc>
                <w:tcPr>
                  <w:tcW w:w="3861" w:type="dxa"/>
                </w:tcPr>
                <w:p w14:paraId="4B6A71FD" w14:textId="193372B4"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Datorii proprii ale </w:t>
                  </w:r>
                  <w:r w:rsidR="00F466E1" w:rsidRPr="00A24080">
                    <w:rPr>
                      <w:rFonts w:ascii="Times New Roman" w:hAnsi="Times New Roman"/>
                      <w:b/>
                      <w:sz w:val="22"/>
                      <w:szCs w:val="22"/>
                      <w:u w:val="single"/>
                    </w:rPr>
                    <w:t xml:space="preserve">băncii </w:t>
                  </w:r>
                  <w:r w:rsidRPr="00A24080">
                    <w:rPr>
                      <w:rFonts w:ascii="Times New Roman" w:hAnsi="Times New Roman"/>
                      <w:b/>
                      <w:sz w:val="22"/>
                      <w:szCs w:val="22"/>
                      <w:u w:val="single"/>
                    </w:rPr>
                    <w:t>cu opțiuni încorporate sau alte instrumente derivate (nedefalcate)</w:t>
                  </w:r>
                </w:p>
                <w:p w14:paraId="4DA3D3BF" w14:textId="2E29DA45" w:rsidR="006F6037" w:rsidRPr="00A24080" w:rsidRDefault="004308B6" w:rsidP="0028208B">
                  <w:pPr>
                    <w:framePr w:hSpace="180" w:wrap="around" w:vAnchor="text" w:hAnchor="text" w:x="-612" w:y="1"/>
                    <w:ind w:right="90"/>
                    <w:suppressOverlap/>
                    <w:jc w:val="both"/>
                    <w:rPr>
                      <w:sz w:val="22"/>
                      <w:szCs w:val="22"/>
                      <w:lang w:val="ro-RO"/>
                    </w:rPr>
                  </w:pPr>
                  <w:r w:rsidRPr="00A24080">
                    <w:rPr>
                      <w:sz w:val="22"/>
                      <w:szCs w:val="22"/>
                      <w:lang w:val="ro-RO"/>
                    </w:rPr>
                    <w:t>Subpct.16.9 și pct.18 din Regulamentul nr.XX/2026</w:t>
                  </w:r>
                </w:p>
              </w:tc>
            </w:tr>
          </w:tbl>
          <w:p w14:paraId="320D1B0C" w14:textId="77777777" w:rsidR="006F6037" w:rsidRPr="00A24080" w:rsidRDefault="006F6037" w:rsidP="0028208B">
            <w:pPr>
              <w:ind w:right="90"/>
              <w:jc w:val="both"/>
              <w:rPr>
                <w:sz w:val="22"/>
                <w:szCs w:val="22"/>
                <w:lang w:val="ro-RO"/>
              </w:rPr>
            </w:pPr>
          </w:p>
        </w:tc>
        <w:tc>
          <w:tcPr>
            <w:tcW w:w="1418" w:type="dxa"/>
          </w:tcPr>
          <w:p w14:paraId="3BD36697" w14:textId="2FEC7544"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813706B" w14:textId="77777777" w:rsidR="006F6037" w:rsidRPr="00A24080" w:rsidRDefault="006F6037" w:rsidP="0028208B">
            <w:pPr>
              <w:jc w:val="both"/>
              <w:rPr>
                <w:bCs/>
                <w:sz w:val="22"/>
                <w:szCs w:val="22"/>
                <w:lang w:val="ro-RO"/>
              </w:rPr>
            </w:pPr>
          </w:p>
        </w:tc>
      </w:tr>
      <w:tr w:rsidR="00EE6234" w:rsidRPr="00A24080" w14:paraId="389AED2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155CD53A" w14:textId="77777777" w:rsidTr="003146FA">
              <w:tc>
                <w:tcPr>
                  <w:tcW w:w="1056" w:type="dxa"/>
                </w:tcPr>
                <w:p w14:paraId="75B47EF7" w14:textId="40E158D0"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0120</w:t>
                  </w:r>
                </w:p>
              </w:tc>
              <w:tc>
                <w:tcPr>
                  <w:tcW w:w="3861" w:type="dxa"/>
                </w:tcPr>
                <w:p w14:paraId="20190319"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clasificate ca fiind destinate tranzacționării în conformitate cu cadrul contabil (neincluse în coloanele anterioare)</w:t>
                  </w:r>
                </w:p>
                <w:p w14:paraId="7A98A042"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Articolul 104 alineatul (2) primul paragraf litera (d) din Regulamentul (UE) 575/2013</w:t>
                  </w:r>
                </w:p>
                <w:p w14:paraId="2877C211" w14:textId="4C48FD6F"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ro-RO"/>
                    </w:rPr>
                    <w:t>Instrumentele clasificate ca fiind destinate tranzacționării în conformitate cu cadrul contabil se raportează în această coloană numai dacă nu au fost încă raportate în coloanele 0030-0110.</w:t>
                  </w:r>
                </w:p>
              </w:tc>
            </w:tr>
          </w:tbl>
          <w:p w14:paraId="0C099AEC" w14:textId="77777777" w:rsidR="00EE6234" w:rsidRPr="00A24080" w:rsidRDefault="00EE6234"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07C133D2" w14:textId="77777777" w:rsidTr="003146FA">
              <w:tc>
                <w:tcPr>
                  <w:tcW w:w="1056" w:type="dxa"/>
                </w:tcPr>
                <w:p w14:paraId="47129A81"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0120</w:t>
                  </w:r>
                </w:p>
              </w:tc>
              <w:tc>
                <w:tcPr>
                  <w:tcW w:w="3861" w:type="dxa"/>
                </w:tcPr>
                <w:p w14:paraId="2FBE2E44"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clasificate ca fiind destinate tranzacționării în conformitate cu cadrul contabil (neincluse în coloanele anterioare)</w:t>
                  </w:r>
                </w:p>
                <w:p w14:paraId="1255FC6A" w14:textId="2E22B49C" w:rsidR="006F6037" w:rsidRPr="00A24080" w:rsidRDefault="001F37A8" w:rsidP="0028208B">
                  <w:pPr>
                    <w:framePr w:hSpace="180" w:wrap="around" w:vAnchor="text" w:hAnchor="text" w:x="-612" w:y="1"/>
                    <w:ind w:right="90"/>
                    <w:suppressOverlap/>
                    <w:jc w:val="both"/>
                    <w:rPr>
                      <w:sz w:val="22"/>
                      <w:szCs w:val="22"/>
                      <w:lang w:val="ro-RO"/>
                    </w:rPr>
                  </w:pPr>
                  <w:r w:rsidRPr="00A24080">
                    <w:rPr>
                      <w:sz w:val="22"/>
                      <w:szCs w:val="22"/>
                      <w:lang w:val="ro-RO"/>
                    </w:rPr>
                    <w:t>Subpct.16.4 din Regulamentul nr.XX/2026</w:t>
                  </w:r>
                  <w:r w:rsidR="006F6037" w:rsidRPr="00A24080">
                    <w:rPr>
                      <w:sz w:val="22"/>
                      <w:szCs w:val="22"/>
                      <w:lang w:val="ro-RO"/>
                    </w:rPr>
                    <w:t>Instrumentele clasificate ca fiind destinate tranzacționării în conformitate cu cadrul contabil se raportează în această coloană numai dacă nu au fost încă raportate în coloanele 0030-0110.</w:t>
                  </w:r>
                </w:p>
              </w:tc>
            </w:tr>
          </w:tbl>
          <w:p w14:paraId="6789157E" w14:textId="77777777" w:rsidR="00EE6234" w:rsidRPr="00A24080" w:rsidRDefault="00EE6234" w:rsidP="0028208B">
            <w:pPr>
              <w:ind w:right="90"/>
              <w:jc w:val="both"/>
              <w:rPr>
                <w:sz w:val="22"/>
                <w:szCs w:val="22"/>
                <w:lang w:val="ro-RO"/>
              </w:rPr>
            </w:pPr>
          </w:p>
        </w:tc>
        <w:tc>
          <w:tcPr>
            <w:tcW w:w="1418" w:type="dxa"/>
          </w:tcPr>
          <w:p w14:paraId="110A60BD" w14:textId="64357502" w:rsidR="00EE6234"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62DDD98" w14:textId="77777777" w:rsidR="00EE6234" w:rsidRPr="00A24080" w:rsidRDefault="00EE6234" w:rsidP="0028208B">
            <w:pPr>
              <w:jc w:val="both"/>
              <w:rPr>
                <w:bCs/>
                <w:sz w:val="22"/>
                <w:szCs w:val="22"/>
                <w:lang w:val="ro-RO"/>
              </w:rPr>
            </w:pPr>
          </w:p>
        </w:tc>
      </w:tr>
      <w:tr w:rsidR="006F6037" w:rsidRPr="00A24080" w14:paraId="7F2095B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485F9E7B" w14:textId="77777777" w:rsidTr="003146FA">
              <w:tc>
                <w:tcPr>
                  <w:tcW w:w="1056" w:type="dxa"/>
                </w:tcPr>
                <w:p w14:paraId="256CDDC0" w14:textId="543065DF"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 xml:space="preserve">0130 </w:t>
                  </w:r>
                </w:p>
              </w:tc>
              <w:tc>
                <w:tcPr>
                  <w:tcW w:w="3861" w:type="dxa"/>
                </w:tcPr>
                <w:p w14:paraId="5FC10B6E"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Poziții agregate – Instrumente incluse în portofoliul de tranzacționare cu aprobarea autorității competente: instrumente din fonduri de hedging</w:t>
                  </w:r>
                </w:p>
                <w:p w14:paraId="5C83D3C2" w14:textId="0BE058A0"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ro-RO"/>
                    </w:rPr>
                    <w:t>Articolul 104 alineatul (4a) din Regulamentul (UE) nr. 575/2013</w:t>
                  </w:r>
                </w:p>
              </w:tc>
            </w:tr>
          </w:tbl>
          <w:p w14:paraId="063C600F"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540038A1" w14:textId="77777777" w:rsidTr="003146FA">
              <w:tc>
                <w:tcPr>
                  <w:tcW w:w="1056" w:type="dxa"/>
                </w:tcPr>
                <w:p w14:paraId="68A4E04A"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 xml:space="preserve">0130 </w:t>
                  </w:r>
                </w:p>
              </w:tc>
              <w:tc>
                <w:tcPr>
                  <w:tcW w:w="3861" w:type="dxa"/>
                </w:tcPr>
                <w:p w14:paraId="183D57EB" w14:textId="047798F8"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Poziții agregate – Instrumente incluse în portofoliul de tranzacționare cu aprobarea </w:t>
                  </w:r>
                  <w:r w:rsidR="001F37A8" w:rsidRPr="00A24080">
                    <w:rPr>
                      <w:rFonts w:ascii="Times New Roman" w:hAnsi="Times New Roman"/>
                      <w:b/>
                      <w:sz w:val="22"/>
                      <w:szCs w:val="22"/>
                      <w:u w:val="single"/>
                    </w:rPr>
                    <w:t>BNM</w:t>
                  </w:r>
                  <w:r w:rsidRPr="00A24080">
                    <w:rPr>
                      <w:rFonts w:ascii="Times New Roman" w:hAnsi="Times New Roman"/>
                      <w:b/>
                      <w:sz w:val="22"/>
                      <w:szCs w:val="22"/>
                      <w:u w:val="single"/>
                    </w:rPr>
                    <w:t>: instrumente din fonduri de hedging</w:t>
                  </w:r>
                </w:p>
                <w:p w14:paraId="04628E78" w14:textId="7B3422D4" w:rsidR="006F6037" w:rsidRPr="00A24080" w:rsidRDefault="001F37A8" w:rsidP="0028208B">
                  <w:pPr>
                    <w:framePr w:hSpace="180" w:wrap="around" w:vAnchor="text" w:hAnchor="text" w:x="-612" w:y="1"/>
                    <w:ind w:right="90"/>
                    <w:suppressOverlap/>
                    <w:jc w:val="both"/>
                    <w:rPr>
                      <w:sz w:val="22"/>
                      <w:szCs w:val="22"/>
                      <w:lang w:val="ro-RO"/>
                    </w:rPr>
                  </w:pPr>
                  <w:r w:rsidRPr="00A24080">
                    <w:rPr>
                      <w:sz w:val="22"/>
                      <w:szCs w:val="22"/>
                      <w:lang w:val="ro-RO"/>
                    </w:rPr>
                    <w:t>Pct.21 din Regulamentul nr.XX/2026</w:t>
                  </w:r>
                </w:p>
              </w:tc>
            </w:tr>
          </w:tbl>
          <w:p w14:paraId="553DDA1E" w14:textId="77777777" w:rsidR="006F6037" w:rsidRPr="00A24080" w:rsidRDefault="006F6037" w:rsidP="0028208B">
            <w:pPr>
              <w:ind w:right="90"/>
              <w:jc w:val="both"/>
              <w:rPr>
                <w:sz w:val="22"/>
                <w:szCs w:val="22"/>
                <w:lang w:val="ro-RO"/>
              </w:rPr>
            </w:pPr>
          </w:p>
        </w:tc>
        <w:tc>
          <w:tcPr>
            <w:tcW w:w="1418" w:type="dxa"/>
          </w:tcPr>
          <w:p w14:paraId="40E5935B" w14:textId="63D60F76"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252D776" w14:textId="77777777" w:rsidR="006F6037" w:rsidRPr="00A24080" w:rsidRDefault="006F6037" w:rsidP="0028208B">
            <w:pPr>
              <w:jc w:val="both"/>
              <w:rPr>
                <w:bCs/>
                <w:sz w:val="22"/>
                <w:szCs w:val="22"/>
                <w:lang w:val="ro-RO"/>
              </w:rPr>
            </w:pPr>
          </w:p>
        </w:tc>
      </w:tr>
      <w:tr w:rsidR="006F6037" w:rsidRPr="00A24080" w14:paraId="27DEA2E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0E501266" w14:textId="77777777" w:rsidTr="003146FA">
              <w:tc>
                <w:tcPr>
                  <w:tcW w:w="1056" w:type="dxa"/>
                </w:tcPr>
                <w:p w14:paraId="174FA8D5" w14:textId="158D0CED"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0140-0150</w:t>
                  </w:r>
                </w:p>
              </w:tc>
              <w:tc>
                <w:tcPr>
                  <w:tcW w:w="3861" w:type="dxa"/>
                </w:tcPr>
                <w:p w14:paraId="5F35A0E9"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Poziții agregate – Alte instrumente</w:t>
                  </w:r>
                </w:p>
                <w:p w14:paraId="660CA62E" w14:textId="276AE90E"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ro-RO"/>
                    </w:rPr>
                    <w:t xml:space="preserve">În această coloană se raportează instrumente care sunt atribuite portofoliului de tranzacționare în conformitate cu articolul 4 alineatul (1) </w:t>
                  </w:r>
                  <w:r w:rsidRPr="00A24080">
                    <w:rPr>
                      <w:sz w:val="22"/>
                      <w:szCs w:val="22"/>
                      <w:lang w:val="ro-RO"/>
                    </w:rPr>
                    <w:lastRenderedPageBreak/>
                    <w:t>punctul 85 din Regulamentul (UE) nr. 575/2013 și nu au fost raportate în niciuna dintre coloanele 0020-0130.</w:t>
                  </w:r>
                </w:p>
              </w:tc>
            </w:tr>
          </w:tbl>
          <w:p w14:paraId="2EE51BE0"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5F4B4923" w14:textId="77777777" w:rsidTr="003146FA">
              <w:tc>
                <w:tcPr>
                  <w:tcW w:w="1056" w:type="dxa"/>
                </w:tcPr>
                <w:p w14:paraId="27896AAE"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lastRenderedPageBreak/>
                    <w:t>0140-0150</w:t>
                  </w:r>
                </w:p>
              </w:tc>
              <w:tc>
                <w:tcPr>
                  <w:tcW w:w="3861" w:type="dxa"/>
                </w:tcPr>
                <w:p w14:paraId="5DCE6828"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Poziții agregate – Alte instrumente</w:t>
                  </w:r>
                </w:p>
                <w:p w14:paraId="527EA34B" w14:textId="1A291CD3"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ro-RO"/>
                    </w:rPr>
                    <w:t xml:space="preserve">În această coloană se raportează instrumente care sunt atribuite portofoliului de tranzacționare în conformitate cu </w:t>
                  </w:r>
                  <w:r w:rsidR="00A55D0A" w:rsidRPr="00A24080">
                    <w:rPr>
                      <w:sz w:val="22"/>
                      <w:szCs w:val="22"/>
                      <w:lang w:val="ro-RO"/>
                    </w:rPr>
                    <w:t xml:space="preserve">subpct.5.13 din </w:t>
                  </w:r>
                  <w:r w:rsidR="00A55D0A" w:rsidRPr="00A24080">
                    <w:rPr>
                      <w:sz w:val="22"/>
                      <w:szCs w:val="22"/>
                      <w:lang w:val="ro-RO"/>
                    </w:rPr>
                    <w:lastRenderedPageBreak/>
                    <w:t>Regulamentul nr.XX/2026</w:t>
                  </w:r>
                  <w:r w:rsidRPr="00A24080">
                    <w:rPr>
                      <w:sz w:val="22"/>
                      <w:szCs w:val="22"/>
                      <w:lang w:val="ro-RO"/>
                    </w:rPr>
                    <w:t xml:space="preserve"> și nu au fost raportate în niciuna dintre coloanele 0020-0130.</w:t>
                  </w:r>
                </w:p>
              </w:tc>
            </w:tr>
          </w:tbl>
          <w:p w14:paraId="266B32DF" w14:textId="77777777" w:rsidR="006F6037" w:rsidRPr="00A24080" w:rsidRDefault="006F6037" w:rsidP="0028208B">
            <w:pPr>
              <w:ind w:right="90"/>
              <w:jc w:val="both"/>
              <w:rPr>
                <w:sz w:val="22"/>
                <w:szCs w:val="22"/>
                <w:lang w:val="ro-RO"/>
              </w:rPr>
            </w:pPr>
          </w:p>
        </w:tc>
        <w:tc>
          <w:tcPr>
            <w:tcW w:w="1418" w:type="dxa"/>
          </w:tcPr>
          <w:p w14:paraId="798B6E53" w14:textId="50B78B9C" w:rsidR="006F6037"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751453C5" w14:textId="77777777" w:rsidR="006F6037" w:rsidRPr="00A24080" w:rsidRDefault="006F6037" w:rsidP="0028208B">
            <w:pPr>
              <w:jc w:val="both"/>
              <w:rPr>
                <w:bCs/>
                <w:sz w:val="22"/>
                <w:szCs w:val="22"/>
                <w:lang w:val="ro-RO"/>
              </w:rPr>
            </w:pPr>
          </w:p>
        </w:tc>
      </w:tr>
      <w:tr w:rsidR="006F6037" w:rsidRPr="00A24080" w14:paraId="5C1AE52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1D03122C" w14:textId="77777777" w:rsidTr="003146FA">
              <w:tc>
                <w:tcPr>
                  <w:tcW w:w="1056" w:type="dxa"/>
                </w:tcPr>
                <w:p w14:paraId="30DE84CF" w14:textId="1DA0DA03"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0140</w:t>
                  </w:r>
                </w:p>
              </w:tc>
              <w:tc>
                <w:tcPr>
                  <w:tcW w:w="3861" w:type="dxa"/>
                </w:tcPr>
                <w:p w14:paraId="6399C40D" w14:textId="3ED86D79"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rPr>
                    <w:t>Alte instrumente</w:t>
                  </w:r>
                </w:p>
              </w:tc>
            </w:tr>
          </w:tbl>
          <w:p w14:paraId="5239C605"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121C44A6" w14:textId="77777777" w:rsidTr="003146FA">
              <w:tc>
                <w:tcPr>
                  <w:tcW w:w="1056" w:type="dxa"/>
                </w:tcPr>
                <w:p w14:paraId="6641BC33"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0140</w:t>
                  </w:r>
                </w:p>
              </w:tc>
              <w:tc>
                <w:tcPr>
                  <w:tcW w:w="3861" w:type="dxa"/>
                </w:tcPr>
                <w:p w14:paraId="02DDCD5E"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rPr>
                    <w:t>Alte instrumente</w:t>
                  </w:r>
                </w:p>
              </w:tc>
            </w:tr>
          </w:tbl>
          <w:p w14:paraId="0D6E8EC7" w14:textId="77777777" w:rsidR="006F6037" w:rsidRPr="00A24080" w:rsidRDefault="006F6037" w:rsidP="0028208B">
            <w:pPr>
              <w:ind w:right="90"/>
              <w:jc w:val="both"/>
              <w:rPr>
                <w:sz w:val="22"/>
                <w:szCs w:val="22"/>
                <w:lang w:val="ro-RO"/>
              </w:rPr>
            </w:pPr>
          </w:p>
        </w:tc>
        <w:tc>
          <w:tcPr>
            <w:tcW w:w="1418" w:type="dxa"/>
          </w:tcPr>
          <w:p w14:paraId="65681D6A" w14:textId="53AB03F1"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63D6364" w14:textId="77777777" w:rsidR="006F6037" w:rsidRPr="00A24080" w:rsidRDefault="006F6037" w:rsidP="0028208B">
            <w:pPr>
              <w:jc w:val="both"/>
              <w:rPr>
                <w:bCs/>
                <w:sz w:val="22"/>
                <w:szCs w:val="22"/>
                <w:lang w:val="ro-RO"/>
              </w:rPr>
            </w:pPr>
          </w:p>
        </w:tc>
      </w:tr>
      <w:tr w:rsidR="006F6037" w:rsidRPr="00EE7DB0" w14:paraId="1E738D6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6DC011B7" w14:textId="77777777" w:rsidTr="003146FA">
              <w:tc>
                <w:tcPr>
                  <w:tcW w:w="1056" w:type="dxa"/>
                </w:tcPr>
                <w:p w14:paraId="47F1464E" w14:textId="38FA4529"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0150</w:t>
                  </w:r>
                </w:p>
              </w:tc>
              <w:tc>
                <w:tcPr>
                  <w:tcW w:w="3861" w:type="dxa"/>
                </w:tcPr>
                <w:p w14:paraId="743BFFC5"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Alte instrumente – din care: instrumente incluse în portofoliul de tranzacționare ca urmare a lipsei elementelor care să justifice clasificarea ca poziții din afara portofoliului de tranzacționare</w:t>
                  </w:r>
                </w:p>
                <w:p w14:paraId="0E22F28F" w14:textId="3CD02C84"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pt-BR"/>
                    </w:rPr>
                    <w:t>Articolul 104 alineatul (6) a doua teză din Regulamentul (UE) nr. 575/2013</w:t>
                  </w:r>
                </w:p>
              </w:tc>
            </w:tr>
          </w:tbl>
          <w:p w14:paraId="554CA57B"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5D9CC6B8" w14:textId="77777777" w:rsidTr="003146FA">
              <w:tc>
                <w:tcPr>
                  <w:tcW w:w="1056" w:type="dxa"/>
                </w:tcPr>
                <w:p w14:paraId="6182624E"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0150</w:t>
                  </w:r>
                </w:p>
              </w:tc>
              <w:tc>
                <w:tcPr>
                  <w:tcW w:w="3861" w:type="dxa"/>
                </w:tcPr>
                <w:p w14:paraId="62023E8C" w14:textId="5EEC9B01" w:rsidR="006F6037" w:rsidRPr="00A24080" w:rsidRDefault="00EF2209"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EE7DB0">
                    <w:rPr>
                      <w:rFonts w:ascii="Times New Roman" w:hAnsi="Times New Roman"/>
                      <w:b/>
                      <w:sz w:val="22"/>
                      <w:szCs w:val="22"/>
                      <w:u w:val="single"/>
                    </w:rPr>
                    <w:t>din care: Instrumente incluse în portofoliul de tranzacționare ca urmare a lipsei elementelor care să justifice includerea în portofoliul bancar</w:t>
                  </w:r>
                  <w:r w:rsidRPr="00EE7DB0" w:rsidDel="001D73FB">
                    <w:rPr>
                      <w:rFonts w:ascii="Times New Roman" w:hAnsi="Times New Roman"/>
                      <w:b/>
                      <w:sz w:val="22"/>
                      <w:szCs w:val="22"/>
                      <w:u w:val="single"/>
                    </w:rPr>
                    <w:t xml:space="preserve"> </w:t>
                  </w:r>
                </w:p>
                <w:p w14:paraId="0B267680" w14:textId="36437D3B" w:rsidR="006F6037" w:rsidRPr="00A24080" w:rsidRDefault="001F37A8" w:rsidP="0028208B">
                  <w:pPr>
                    <w:framePr w:hSpace="180" w:wrap="around" w:vAnchor="text" w:hAnchor="text" w:x="-612" w:y="1"/>
                    <w:ind w:right="90"/>
                    <w:suppressOverlap/>
                    <w:jc w:val="both"/>
                    <w:rPr>
                      <w:sz w:val="22"/>
                      <w:szCs w:val="22"/>
                      <w:lang w:val="ro-RO"/>
                    </w:rPr>
                  </w:pPr>
                  <w:r w:rsidRPr="00A24080">
                    <w:rPr>
                      <w:sz w:val="22"/>
                      <w:szCs w:val="22"/>
                      <w:lang w:val="ro-RO"/>
                    </w:rPr>
                    <w:t>Pct.22 din Regulamentul nr.XX/2026</w:t>
                  </w:r>
                </w:p>
              </w:tc>
            </w:tr>
          </w:tbl>
          <w:p w14:paraId="78753A6B" w14:textId="77777777" w:rsidR="006F6037" w:rsidRPr="00A24080" w:rsidRDefault="006F6037" w:rsidP="0028208B">
            <w:pPr>
              <w:ind w:right="90"/>
              <w:jc w:val="both"/>
              <w:rPr>
                <w:sz w:val="22"/>
                <w:szCs w:val="22"/>
                <w:lang w:val="ro-RO"/>
              </w:rPr>
            </w:pPr>
          </w:p>
        </w:tc>
        <w:tc>
          <w:tcPr>
            <w:tcW w:w="1418" w:type="dxa"/>
          </w:tcPr>
          <w:p w14:paraId="444F19CD" w14:textId="60F52A74"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99D9BED" w14:textId="404A8FAA" w:rsidR="006F6037" w:rsidRPr="00A24080" w:rsidRDefault="00EF2209" w:rsidP="0028208B">
            <w:pPr>
              <w:jc w:val="both"/>
              <w:rPr>
                <w:bCs/>
                <w:sz w:val="22"/>
                <w:szCs w:val="22"/>
                <w:lang w:val="ro-RO"/>
              </w:rPr>
            </w:pPr>
            <w:r w:rsidRPr="00EF2209">
              <w:rPr>
                <w:bCs/>
                <w:sz w:val="22"/>
                <w:szCs w:val="22"/>
                <w:lang w:val="ro-RO"/>
              </w:rPr>
              <w:t>Denumirea coloanei 0</w:t>
            </w:r>
            <w:r>
              <w:rPr>
                <w:bCs/>
                <w:sz w:val="22"/>
                <w:szCs w:val="22"/>
                <w:lang w:val="ro-RO"/>
              </w:rPr>
              <w:t>150</w:t>
            </w:r>
            <w:r w:rsidRPr="00EF2209">
              <w:rPr>
                <w:bCs/>
                <w:sz w:val="22"/>
                <w:szCs w:val="22"/>
                <w:lang w:val="ro-RO"/>
              </w:rPr>
              <w:t xml:space="preserve"> ajustată cu denumirea acesteia din formularul C 90.05</w:t>
            </w:r>
          </w:p>
        </w:tc>
      </w:tr>
      <w:tr w:rsidR="006F6037" w:rsidRPr="00A24080" w14:paraId="594A2314"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1FC1AD94" w14:textId="77777777" w:rsidTr="003146FA">
              <w:tc>
                <w:tcPr>
                  <w:tcW w:w="1056" w:type="dxa"/>
                  <w:shd w:val="clear" w:color="auto" w:fill="BFBFBF" w:themeFill="background1" w:themeFillShade="BF"/>
                </w:tcPr>
                <w:p w14:paraId="7C749B67" w14:textId="270BFE73"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rPr>
                    <w:t>Rând</w:t>
                  </w:r>
                </w:p>
              </w:tc>
              <w:tc>
                <w:tcPr>
                  <w:tcW w:w="3861" w:type="dxa"/>
                  <w:shd w:val="clear" w:color="auto" w:fill="BFBFBF" w:themeFill="background1" w:themeFillShade="BF"/>
                </w:tcPr>
                <w:p w14:paraId="207ABD6C" w14:textId="122D4DE8"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bl>
          <w:p w14:paraId="616BE045"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422B782C" w14:textId="77777777" w:rsidTr="003146FA">
              <w:tc>
                <w:tcPr>
                  <w:tcW w:w="1056" w:type="dxa"/>
                  <w:shd w:val="clear" w:color="auto" w:fill="BFBFBF" w:themeFill="background1" w:themeFillShade="BF"/>
                </w:tcPr>
                <w:p w14:paraId="7127F1A7"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rPr>
                    <w:t>Rând</w:t>
                  </w:r>
                </w:p>
              </w:tc>
              <w:tc>
                <w:tcPr>
                  <w:tcW w:w="3861" w:type="dxa"/>
                  <w:shd w:val="clear" w:color="auto" w:fill="BFBFBF" w:themeFill="background1" w:themeFillShade="BF"/>
                </w:tcPr>
                <w:p w14:paraId="246E9A8A"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bl>
          <w:p w14:paraId="02878F69" w14:textId="77777777" w:rsidR="006F6037" w:rsidRPr="00A24080" w:rsidRDefault="006F6037" w:rsidP="0028208B">
            <w:pPr>
              <w:ind w:right="90"/>
              <w:jc w:val="both"/>
              <w:rPr>
                <w:sz w:val="22"/>
                <w:szCs w:val="22"/>
                <w:lang w:val="ro-RO"/>
              </w:rPr>
            </w:pPr>
          </w:p>
        </w:tc>
        <w:tc>
          <w:tcPr>
            <w:tcW w:w="1418" w:type="dxa"/>
          </w:tcPr>
          <w:p w14:paraId="2595688B" w14:textId="53D21C90"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6FD85537" w14:textId="77777777" w:rsidR="006F6037" w:rsidRPr="00A24080" w:rsidRDefault="006F6037" w:rsidP="0028208B">
            <w:pPr>
              <w:jc w:val="both"/>
              <w:rPr>
                <w:bCs/>
                <w:sz w:val="22"/>
                <w:szCs w:val="22"/>
                <w:lang w:val="ro-RO"/>
              </w:rPr>
            </w:pPr>
          </w:p>
        </w:tc>
      </w:tr>
      <w:tr w:rsidR="006F6037" w:rsidRPr="00A24080" w14:paraId="3B584BB5"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2BDAC1CF" w14:textId="77777777" w:rsidTr="003146FA">
              <w:tc>
                <w:tcPr>
                  <w:tcW w:w="1056" w:type="dxa"/>
                </w:tcPr>
                <w:p w14:paraId="642CDC55" w14:textId="4413B0BF"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vAlign w:val="bottom"/>
                </w:tcPr>
                <w:p w14:paraId="280D935B" w14:textId="42705E5C"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lang w:val="ro-RO"/>
                    </w:rPr>
                    <w:t>Toate instrumentele din portofoliul de tranzacționare luate în considerare în cadrul pragului de la articolul 325a din Regulamentul (UE) nr. 575/2013</w:t>
                  </w:r>
                </w:p>
              </w:tc>
            </w:tr>
          </w:tbl>
          <w:p w14:paraId="222204DB"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7D64A098" w14:textId="77777777" w:rsidTr="003146FA">
              <w:tc>
                <w:tcPr>
                  <w:tcW w:w="1056" w:type="dxa"/>
                </w:tcPr>
                <w:p w14:paraId="18AE1A3C"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0010-0020</w:t>
                  </w:r>
                </w:p>
              </w:tc>
              <w:tc>
                <w:tcPr>
                  <w:tcW w:w="3861" w:type="dxa"/>
                  <w:vAlign w:val="bottom"/>
                </w:tcPr>
                <w:p w14:paraId="6A313900" w14:textId="56280B36"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lang w:val="ro-RO"/>
                    </w:rPr>
                    <w:t xml:space="preserve">Toate instrumentele din portofoliul de tranzacționare luate în considerare în cadrul pragului de la </w:t>
                  </w:r>
                  <w:r w:rsidR="00610991" w:rsidRPr="00A24080">
                    <w:rPr>
                      <w:b/>
                      <w:sz w:val="22"/>
                      <w:szCs w:val="22"/>
                      <w:u w:val="single"/>
                      <w:lang w:val="ro-RO"/>
                    </w:rPr>
                    <w:t>titlul II capitolul I secțiunea 2 din Regulamentul nr.XX/2026</w:t>
                  </w:r>
                </w:p>
              </w:tc>
            </w:tr>
          </w:tbl>
          <w:p w14:paraId="0E20F72A" w14:textId="77777777" w:rsidR="006F6037" w:rsidRPr="00A24080" w:rsidRDefault="006F6037" w:rsidP="0028208B">
            <w:pPr>
              <w:ind w:right="90"/>
              <w:jc w:val="both"/>
              <w:rPr>
                <w:sz w:val="22"/>
                <w:szCs w:val="22"/>
                <w:lang w:val="ro-RO"/>
              </w:rPr>
            </w:pPr>
          </w:p>
        </w:tc>
        <w:tc>
          <w:tcPr>
            <w:tcW w:w="1418" w:type="dxa"/>
          </w:tcPr>
          <w:p w14:paraId="21B6C32D" w14:textId="3897D4DB"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B6A62AC" w14:textId="77777777" w:rsidR="006F6037" w:rsidRPr="00A24080" w:rsidRDefault="006F6037" w:rsidP="0028208B">
            <w:pPr>
              <w:jc w:val="both"/>
              <w:rPr>
                <w:bCs/>
                <w:sz w:val="22"/>
                <w:szCs w:val="22"/>
                <w:lang w:val="ro-RO"/>
              </w:rPr>
            </w:pPr>
          </w:p>
        </w:tc>
      </w:tr>
      <w:tr w:rsidR="006F6037" w:rsidRPr="00A24080" w14:paraId="085F7319"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756ED2D5" w14:textId="77777777" w:rsidTr="003146FA">
              <w:tc>
                <w:tcPr>
                  <w:tcW w:w="1056" w:type="dxa"/>
                </w:tcPr>
                <w:p w14:paraId="0249DB13" w14:textId="3ECCB9BE"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3861" w:type="dxa"/>
                </w:tcPr>
                <w:p w14:paraId="4EFE962C"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al căror principal determinant de risc este riscul general de rată a dobânzii sau riscul de marjă de credit</w:t>
                  </w:r>
                </w:p>
                <w:p w14:paraId="66661635" w14:textId="77777777" w:rsidR="006F6037" w:rsidRPr="00A24080" w:rsidRDefault="006F6037" w:rsidP="0028208B">
                  <w:pPr>
                    <w:framePr w:hSpace="180" w:wrap="around" w:vAnchor="text" w:hAnchor="text" w:x="-612" w:y="1"/>
                    <w:ind w:right="90"/>
                    <w:suppressOverlap/>
                    <w:jc w:val="both"/>
                    <w:rPr>
                      <w:sz w:val="22"/>
                      <w:szCs w:val="22"/>
                      <w:lang w:val="ro-RO"/>
                    </w:rPr>
                  </w:pPr>
                </w:p>
              </w:tc>
            </w:tr>
          </w:tbl>
          <w:p w14:paraId="4ADCAA46"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74733991" w14:textId="77777777" w:rsidTr="003146FA">
              <w:tc>
                <w:tcPr>
                  <w:tcW w:w="1056" w:type="dxa"/>
                </w:tcPr>
                <w:p w14:paraId="1871E121"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0030-0040</w:t>
                  </w:r>
                </w:p>
              </w:tc>
              <w:tc>
                <w:tcPr>
                  <w:tcW w:w="3861" w:type="dxa"/>
                </w:tcPr>
                <w:p w14:paraId="63D676D8"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Instrumente al căror principal determinant de risc este riscul general de rată a dobânzii sau riscul de marjă de credit</w:t>
                  </w:r>
                </w:p>
                <w:p w14:paraId="359A1DBA" w14:textId="77777777" w:rsidR="006F6037" w:rsidRPr="00A24080" w:rsidRDefault="006F6037" w:rsidP="0028208B">
                  <w:pPr>
                    <w:framePr w:hSpace="180" w:wrap="around" w:vAnchor="text" w:hAnchor="text" w:x="-612" w:y="1"/>
                    <w:ind w:right="90"/>
                    <w:suppressOverlap/>
                    <w:jc w:val="both"/>
                    <w:rPr>
                      <w:sz w:val="22"/>
                      <w:szCs w:val="22"/>
                      <w:lang w:val="ro-RO"/>
                    </w:rPr>
                  </w:pPr>
                </w:p>
              </w:tc>
            </w:tr>
          </w:tbl>
          <w:p w14:paraId="0E7D2B68" w14:textId="77777777" w:rsidR="006F6037" w:rsidRPr="00A24080" w:rsidRDefault="006F6037" w:rsidP="0028208B">
            <w:pPr>
              <w:ind w:right="90"/>
              <w:jc w:val="both"/>
              <w:rPr>
                <w:sz w:val="22"/>
                <w:szCs w:val="22"/>
                <w:lang w:val="ro-RO"/>
              </w:rPr>
            </w:pPr>
          </w:p>
        </w:tc>
        <w:tc>
          <w:tcPr>
            <w:tcW w:w="1418" w:type="dxa"/>
          </w:tcPr>
          <w:p w14:paraId="72F6DE70" w14:textId="1209ADE7"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3C06E98" w14:textId="77777777" w:rsidR="006F6037" w:rsidRPr="00A24080" w:rsidRDefault="006F6037" w:rsidP="0028208B">
            <w:pPr>
              <w:jc w:val="both"/>
              <w:rPr>
                <w:bCs/>
                <w:sz w:val="22"/>
                <w:szCs w:val="22"/>
                <w:lang w:val="ro-RO"/>
              </w:rPr>
            </w:pPr>
          </w:p>
        </w:tc>
      </w:tr>
      <w:tr w:rsidR="006F6037" w:rsidRPr="00EE7DB0" w14:paraId="6A419AC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786E7FBB" w14:textId="77777777" w:rsidTr="003146FA">
              <w:tc>
                <w:tcPr>
                  <w:tcW w:w="1056" w:type="dxa"/>
                </w:tcPr>
                <w:p w14:paraId="379B3595" w14:textId="413BC98C"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3861" w:type="dxa"/>
                </w:tcPr>
                <w:p w14:paraId="586366E0" w14:textId="2DAFD1FB"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lang w:val="pt-BR"/>
                    </w:rPr>
                    <w:t>Instrumente al căror principal determinant de risc este riscul privind titlurile de capital</w:t>
                  </w:r>
                </w:p>
              </w:tc>
            </w:tr>
          </w:tbl>
          <w:p w14:paraId="0C3E5ECE"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4BAD97B9" w14:textId="77777777" w:rsidTr="003146FA">
              <w:tc>
                <w:tcPr>
                  <w:tcW w:w="1056" w:type="dxa"/>
                </w:tcPr>
                <w:p w14:paraId="03745715"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0050-0060</w:t>
                  </w:r>
                </w:p>
              </w:tc>
              <w:tc>
                <w:tcPr>
                  <w:tcW w:w="3861" w:type="dxa"/>
                </w:tcPr>
                <w:p w14:paraId="213D6738" w14:textId="36035A11" w:rsidR="006F6037" w:rsidRPr="00A24080" w:rsidRDefault="00EF2209" w:rsidP="0028208B">
                  <w:pPr>
                    <w:framePr w:hSpace="180" w:wrap="around" w:vAnchor="text" w:hAnchor="text" w:x="-612" w:y="1"/>
                    <w:ind w:right="90"/>
                    <w:suppressOverlap/>
                    <w:jc w:val="both"/>
                    <w:rPr>
                      <w:sz w:val="22"/>
                      <w:szCs w:val="22"/>
                      <w:lang w:val="ro-RO"/>
                    </w:rPr>
                  </w:pPr>
                  <w:r w:rsidRPr="00EF2209">
                    <w:rPr>
                      <w:b/>
                      <w:sz w:val="22"/>
                      <w:szCs w:val="22"/>
                      <w:u w:val="single"/>
                      <w:lang w:val="pt-BR"/>
                    </w:rPr>
                    <w:t>Instrumente al căror principal determinant de risc este riscul de devalorizare a acțiunilor</w:t>
                  </w:r>
                </w:p>
              </w:tc>
            </w:tr>
          </w:tbl>
          <w:p w14:paraId="4FC7AE92" w14:textId="77777777" w:rsidR="006F6037" w:rsidRPr="00A24080" w:rsidRDefault="006F6037" w:rsidP="0028208B">
            <w:pPr>
              <w:ind w:right="90"/>
              <w:jc w:val="both"/>
              <w:rPr>
                <w:sz w:val="22"/>
                <w:szCs w:val="22"/>
                <w:lang w:val="ro-RO"/>
              </w:rPr>
            </w:pPr>
          </w:p>
        </w:tc>
        <w:tc>
          <w:tcPr>
            <w:tcW w:w="1418" w:type="dxa"/>
          </w:tcPr>
          <w:p w14:paraId="3A80F78C" w14:textId="770F9011"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0A58DE8" w14:textId="53FCEEE5" w:rsidR="006F6037" w:rsidRPr="00A24080" w:rsidRDefault="00EF2209" w:rsidP="0028208B">
            <w:pPr>
              <w:jc w:val="both"/>
              <w:rPr>
                <w:bCs/>
                <w:sz w:val="22"/>
                <w:szCs w:val="22"/>
                <w:lang w:val="ro-RO"/>
              </w:rPr>
            </w:pPr>
            <w:r w:rsidRPr="00EF2209">
              <w:rPr>
                <w:bCs/>
                <w:sz w:val="22"/>
                <w:szCs w:val="22"/>
                <w:lang w:val="ro-RO"/>
              </w:rPr>
              <w:t xml:space="preserve">Denumirea </w:t>
            </w:r>
            <w:r>
              <w:rPr>
                <w:bCs/>
                <w:sz w:val="22"/>
                <w:szCs w:val="22"/>
                <w:lang w:val="ro-RO"/>
              </w:rPr>
              <w:t>rândurilor</w:t>
            </w:r>
            <w:r w:rsidRPr="00EF2209">
              <w:rPr>
                <w:bCs/>
                <w:sz w:val="22"/>
                <w:szCs w:val="22"/>
                <w:lang w:val="ro-RO"/>
              </w:rPr>
              <w:t xml:space="preserve"> 0</w:t>
            </w:r>
            <w:r>
              <w:rPr>
                <w:bCs/>
                <w:sz w:val="22"/>
                <w:szCs w:val="22"/>
                <w:lang w:val="ro-RO"/>
              </w:rPr>
              <w:t>0</w:t>
            </w:r>
            <w:r w:rsidRPr="00EF2209">
              <w:rPr>
                <w:bCs/>
                <w:sz w:val="22"/>
                <w:szCs w:val="22"/>
                <w:lang w:val="ro-RO"/>
              </w:rPr>
              <w:t>50</w:t>
            </w:r>
            <w:r>
              <w:rPr>
                <w:bCs/>
                <w:sz w:val="22"/>
                <w:szCs w:val="22"/>
                <w:lang w:val="ro-RO"/>
              </w:rPr>
              <w:t>-0060</w:t>
            </w:r>
            <w:r w:rsidRPr="00EF2209">
              <w:rPr>
                <w:bCs/>
                <w:sz w:val="22"/>
                <w:szCs w:val="22"/>
                <w:lang w:val="ro-RO"/>
              </w:rPr>
              <w:t xml:space="preserve"> ajustată cu denumirea acest</w:t>
            </w:r>
            <w:r>
              <w:rPr>
                <w:bCs/>
                <w:sz w:val="22"/>
                <w:szCs w:val="22"/>
                <w:lang w:val="ro-RO"/>
              </w:rPr>
              <w:t>ora</w:t>
            </w:r>
            <w:r w:rsidRPr="00EF2209">
              <w:rPr>
                <w:bCs/>
                <w:sz w:val="22"/>
                <w:szCs w:val="22"/>
                <w:lang w:val="ro-RO"/>
              </w:rPr>
              <w:t xml:space="preserve"> din formularul C 90.05</w:t>
            </w:r>
          </w:p>
        </w:tc>
      </w:tr>
      <w:tr w:rsidR="006F6037" w:rsidRPr="00A24080" w14:paraId="2DEBAD6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1A4FB330" w14:textId="77777777" w:rsidTr="003146FA">
              <w:tc>
                <w:tcPr>
                  <w:tcW w:w="1056" w:type="dxa"/>
                </w:tcPr>
                <w:p w14:paraId="42271967" w14:textId="74BFA41C"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0070-0080</w:t>
                  </w:r>
                </w:p>
              </w:tc>
              <w:tc>
                <w:tcPr>
                  <w:tcW w:w="3861" w:type="dxa"/>
                </w:tcPr>
                <w:p w14:paraId="7106509E" w14:textId="7707AE9E"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rPr>
                    <w:t>Instrumente al căror principal determinant de risc este riscul de schimb valutar</w:t>
                  </w:r>
                </w:p>
              </w:tc>
            </w:tr>
          </w:tbl>
          <w:p w14:paraId="2F9D6D9F"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22064247" w14:textId="77777777" w:rsidTr="003146FA">
              <w:tc>
                <w:tcPr>
                  <w:tcW w:w="1056" w:type="dxa"/>
                </w:tcPr>
                <w:p w14:paraId="5DA27FE1"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0070-0080</w:t>
                  </w:r>
                </w:p>
              </w:tc>
              <w:tc>
                <w:tcPr>
                  <w:tcW w:w="3861" w:type="dxa"/>
                </w:tcPr>
                <w:p w14:paraId="3E10B541"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rPr>
                    <w:t>Instrumente al căror principal determinant de risc este riscul de schimb valutar</w:t>
                  </w:r>
                </w:p>
              </w:tc>
            </w:tr>
          </w:tbl>
          <w:p w14:paraId="45833B10" w14:textId="77777777" w:rsidR="006F6037" w:rsidRPr="00A24080" w:rsidRDefault="006F6037" w:rsidP="0028208B">
            <w:pPr>
              <w:ind w:right="90"/>
              <w:jc w:val="both"/>
              <w:rPr>
                <w:sz w:val="22"/>
                <w:szCs w:val="22"/>
                <w:lang w:val="ro-RO"/>
              </w:rPr>
            </w:pPr>
          </w:p>
        </w:tc>
        <w:tc>
          <w:tcPr>
            <w:tcW w:w="1418" w:type="dxa"/>
          </w:tcPr>
          <w:p w14:paraId="567DA788" w14:textId="29DAFFE3"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D90FAA1" w14:textId="77777777" w:rsidR="006F6037" w:rsidRPr="00A24080" w:rsidRDefault="006F6037" w:rsidP="0028208B">
            <w:pPr>
              <w:jc w:val="both"/>
              <w:rPr>
                <w:bCs/>
                <w:sz w:val="22"/>
                <w:szCs w:val="22"/>
                <w:lang w:val="ro-RO"/>
              </w:rPr>
            </w:pPr>
          </w:p>
        </w:tc>
      </w:tr>
      <w:tr w:rsidR="006F6037" w:rsidRPr="00A24080" w14:paraId="39DFC55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595AB392" w14:textId="77777777" w:rsidTr="003146FA">
              <w:tc>
                <w:tcPr>
                  <w:tcW w:w="1056" w:type="dxa"/>
                </w:tcPr>
                <w:p w14:paraId="7E9A0097" w14:textId="28853785"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lastRenderedPageBreak/>
                    <w:t>0090-0100</w:t>
                  </w:r>
                </w:p>
              </w:tc>
              <w:tc>
                <w:tcPr>
                  <w:tcW w:w="3861" w:type="dxa"/>
                </w:tcPr>
                <w:p w14:paraId="75159DFC" w14:textId="19AFBCF0"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lang w:val="pt-BR"/>
                    </w:rPr>
                    <w:t>Instrumente al căror principal determinant de risc este riscul de marfă</w:t>
                  </w:r>
                </w:p>
              </w:tc>
            </w:tr>
          </w:tbl>
          <w:p w14:paraId="69AED5EE"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7CC6D9D8" w14:textId="77777777" w:rsidTr="003146FA">
              <w:tc>
                <w:tcPr>
                  <w:tcW w:w="1056" w:type="dxa"/>
                </w:tcPr>
                <w:p w14:paraId="65295217"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0090-0100</w:t>
                  </w:r>
                </w:p>
              </w:tc>
              <w:tc>
                <w:tcPr>
                  <w:tcW w:w="3861" w:type="dxa"/>
                </w:tcPr>
                <w:p w14:paraId="7D3F3450"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b/>
                      <w:sz w:val="22"/>
                      <w:szCs w:val="22"/>
                      <w:u w:val="single"/>
                      <w:lang w:val="pt-BR"/>
                    </w:rPr>
                    <w:t>Instrumente al căror principal determinant de risc este riscul de marfă</w:t>
                  </w:r>
                </w:p>
              </w:tc>
            </w:tr>
          </w:tbl>
          <w:p w14:paraId="73520597" w14:textId="77777777" w:rsidR="006F6037" w:rsidRPr="00A24080" w:rsidRDefault="006F6037" w:rsidP="0028208B">
            <w:pPr>
              <w:ind w:right="90"/>
              <w:jc w:val="both"/>
              <w:rPr>
                <w:sz w:val="22"/>
                <w:szCs w:val="22"/>
                <w:lang w:val="ro-RO"/>
              </w:rPr>
            </w:pPr>
          </w:p>
        </w:tc>
        <w:tc>
          <w:tcPr>
            <w:tcW w:w="1418" w:type="dxa"/>
          </w:tcPr>
          <w:p w14:paraId="2CAD74E8" w14:textId="3F21D16F"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56AB649" w14:textId="77777777" w:rsidR="006F6037" w:rsidRPr="00A24080" w:rsidRDefault="006F6037" w:rsidP="0028208B">
            <w:pPr>
              <w:jc w:val="both"/>
              <w:rPr>
                <w:bCs/>
                <w:sz w:val="22"/>
                <w:szCs w:val="22"/>
                <w:lang w:val="ro-RO"/>
              </w:rPr>
            </w:pPr>
          </w:p>
        </w:tc>
      </w:tr>
      <w:tr w:rsidR="006F6037" w:rsidRPr="00A24080" w14:paraId="66649BD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6146611C" w14:textId="77777777" w:rsidTr="003146FA">
              <w:tc>
                <w:tcPr>
                  <w:tcW w:w="1056" w:type="dxa"/>
                </w:tcPr>
                <w:p w14:paraId="07A7DEF4" w14:textId="6B3A5436"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0110-0120</w:t>
                  </w:r>
                </w:p>
              </w:tc>
              <w:tc>
                <w:tcPr>
                  <w:tcW w:w="3861" w:type="dxa"/>
                  <w:vAlign w:val="bottom"/>
                </w:tcPr>
                <w:p w14:paraId="37BD9B12"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Alte instrumente din portofoliul de tranzacționare, inclusiv instrumentele al căror principal determinant de risc este riscul rezidual</w:t>
                  </w:r>
                </w:p>
                <w:p w14:paraId="4E20F43B" w14:textId="7FF2DA53"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ro-RO"/>
                    </w:rPr>
                    <w:t xml:space="preserve">Instituțiile raportează pe aceste rânduri orice instrument alocat portofoliului de tranzacționare al cărui principal determinant de risc nu este unul dintre determinanții de risc menționați pe rândurile 0030-0100. </w:t>
                  </w:r>
                  <w:r w:rsidRPr="00A24080">
                    <w:rPr>
                      <w:sz w:val="22"/>
                      <w:szCs w:val="22"/>
                    </w:rPr>
                    <w:t xml:space="preserve">Aceste rânduri trebuie să includă cel puțin instrumentele al căror principal determinant de risc este riscul rezidual. </w:t>
                  </w:r>
                </w:p>
              </w:tc>
            </w:tr>
          </w:tbl>
          <w:p w14:paraId="72D3DE8F"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0BEA9373" w14:textId="77777777" w:rsidTr="003146FA">
              <w:tc>
                <w:tcPr>
                  <w:tcW w:w="1056" w:type="dxa"/>
                </w:tcPr>
                <w:p w14:paraId="73A02C2D"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0110-0120</w:t>
                  </w:r>
                </w:p>
              </w:tc>
              <w:tc>
                <w:tcPr>
                  <w:tcW w:w="3861" w:type="dxa"/>
                  <w:vAlign w:val="bottom"/>
                </w:tcPr>
                <w:p w14:paraId="62CBAC29"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Alte instrumente din portofoliul de tranzacționare, inclusiv instrumentele al căror principal determinant de risc este riscul rezidual</w:t>
                  </w:r>
                </w:p>
                <w:p w14:paraId="3A989DCD" w14:textId="5942FB18" w:rsidR="006F6037" w:rsidRPr="00A24080" w:rsidRDefault="00F466E1" w:rsidP="0028208B">
                  <w:pPr>
                    <w:framePr w:hSpace="180" w:wrap="around" w:vAnchor="text" w:hAnchor="text" w:x="-612" w:y="1"/>
                    <w:ind w:right="90"/>
                    <w:suppressOverlap/>
                    <w:jc w:val="both"/>
                    <w:rPr>
                      <w:sz w:val="22"/>
                      <w:szCs w:val="22"/>
                      <w:lang w:val="ro-RO"/>
                    </w:rPr>
                  </w:pPr>
                  <w:r w:rsidRPr="00A24080">
                    <w:rPr>
                      <w:sz w:val="22"/>
                      <w:szCs w:val="22"/>
                      <w:lang w:val="ro-RO"/>
                    </w:rPr>
                    <w:t xml:space="preserve">Băncile </w:t>
                  </w:r>
                  <w:r w:rsidR="006F6037" w:rsidRPr="00A24080">
                    <w:rPr>
                      <w:sz w:val="22"/>
                      <w:szCs w:val="22"/>
                      <w:lang w:val="ro-RO"/>
                    </w:rPr>
                    <w:t xml:space="preserve">raportează pe aceste rânduri orice instrument alocat portofoliului de tranzacționare al cărui principal determinant de risc nu este unul dintre determinanții de risc menționați pe rândurile 0030-0100. Aceste rânduri trebuie să includă cel puțin instrumentele al căror principal determinant de risc este riscul rezidual. </w:t>
                  </w:r>
                </w:p>
              </w:tc>
            </w:tr>
          </w:tbl>
          <w:p w14:paraId="450DFC66" w14:textId="77777777" w:rsidR="006F6037" w:rsidRPr="00A24080" w:rsidRDefault="006F6037" w:rsidP="0028208B">
            <w:pPr>
              <w:ind w:right="90"/>
              <w:jc w:val="both"/>
              <w:rPr>
                <w:sz w:val="22"/>
                <w:szCs w:val="22"/>
                <w:lang w:val="ro-RO"/>
              </w:rPr>
            </w:pPr>
          </w:p>
        </w:tc>
        <w:tc>
          <w:tcPr>
            <w:tcW w:w="1418" w:type="dxa"/>
          </w:tcPr>
          <w:p w14:paraId="4498B6FC" w14:textId="7080209D"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1B0CAE6" w14:textId="77777777" w:rsidR="006F6037" w:rsidRPr="00A24080" w:rsidRDefault="006F6037" w:rsidP="0028208B">
            <w:pPr>
              <w:jc w:val="both"/>
              <w:rPr>
                <w:bCs/>
                <w:sz w:val="22"/>
                <w:szCs w:val="22"/>
                <w:lang w:val="ro-RO"/>
              </w:rPr>
            </w:pPr>
          </w:p>
        </w:tc>
      </w:tr>
      <w:tr w:rsidR="006F6037" w:rsidRPr="00A24080" w14:paraId="3A4C17B7"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F6037" w:rsidRPr="00EE7DB0" w14:paraId="48F71601" w14:textId="77777777" w:rsidTr="003146FA">
              <w:tc>
                <w:tcPr>
                  <w:tcW w:w="1056" w:type="dxa"/>
                </w:tcPr>
                <w:p w14:paraId="64085BAB" w14:textId="2EEEF3DE"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0130-0140</w:t>
                  </w:r>
                </w:p>
              </w:tc>
              <w:tc>
                <w:tcPr>
                  <w:tcW w:w="3861" w:type="dxa"/>
                  <w:vAlign w:val="bottom"/>
                </w:tcPr>
                <w:p w14:paraId="200E57B4"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Element memorandum: instrumente clasificate ca fiind destinate tranzacționării în conformitate cu cadrul contabil</w:t>
                  </w:r>
                </w:p>
                <w:p w14:paraId="2FB18990" w14:textId="614755E0"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lang w:val="ro-RO"/>
                    </w:rPr>
                    <w:t>Articolul 104 alineatul (2) primul paragraf litera (d) din Regulamentul (UE) 575/2013</w:t>
                  </w:r>
                </w:p>
              </w:tc>
            </w:tr>
          </w:tbl>
          <w:p w14:paraId="628C24E2" w14:textId="77777777" w:rsidR="006F6037" w:rsidRPr="00A24080" w:rsidRDefault="006F6037"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6F6037" w:rsidRPr="00A24080" w14:paraId="60A54EA0" w14:textId="77777777" w:rsidTr="003146FA">
              <w:tc>
                <w:tcPr>
                  <w:tcW w:w="1056" w:type="dxa"/>
                </w:tcPr>
                <w:p w14:paraId="523CF494" w14:textId="77777777" w:rsidR="006F6037" w:rsidRPr="00A24080" w:rsidRDefault="006F6037" w:rsidP="0028208B">
                  <w:pPr>
                    <w:framePr w:hSpace="180" w:wrap="around" w:vAnchor="text" w:hAnchor="text" w:x="-612" w:y="1"/>
                    <w:ind w:right="90"/>
                    <w:suppressOverlap/>
                    <w:jc w:val="both"/>
                    <w:rPr>
                      <w:sz w:val="22"/>
                      <w:szCs w:val="22"/>
                      <w:lang w:val="ro-RO"/>
                    </w:rPr>
                  </w:pPr>
                  <w:r w:rsidRPr="00A24080">
                    <w:rPr>
                      <w:sz w:val="22"/>
                      <w:szCs w:val="22"/>
                    </w:rPr>
                    <w:t>0130-0140</w:t>
                  </w:r>
                </w:p>
              </w:tc>
              <w:tc>
                <w:tcPr>
                  <w:tcW w:w="3861" w:type="dxa"/>
                  <w:vAlign w:val="bottom"/>
                </w:tcPr>
                <w:p w14:paraId="077FBC05" w14:textId="77777777" w:rsidR="006F6037" w:rsidRPr="00A24080" w:rsidRDefault="006F6037"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Element memorandum: instrumente clasificate ca fiind destinate tranzacționării în conformitate cu cadrul contabil</w:t>
                  </w:r>
                </w:p>
                <w:p w14:paraId="4A5CAEA8" w14:textId="32437636" w:rsidR="006F6037" w:rsidRPr="00A24080" w:rsidRDefault="00681464" w:rsidP="0028208B">
                  <w:pPr>
                    <w:framePr w:hSpace="180" w:wrap="around" w:vAnchor="text" w:hAnchor="text" w:x="-612" w:y="1"/>
                    <w:ind w:right="90"/>
                    <w:suppressOverlap/>
                    <w:jc w:val="both"/>
                    <w:rPr>
                      <w:sz w:val="22"/>
                      <w:szCs w:val="22"/>
                      <w:lang w:val="ro-RO"/>
                    </w:rPr>
                  </w:pPr>
                  <w:r w:rsidRPr="00A24080">
                    <w:rPr>
                      <w:sz w:val="22"/>
                      <w:szCs w:val="22"/>
                    </w:rPr>
                    <w:t>Subpct.16.4 din Regulamentul nr.XX/2026</w:t>
                  </w:r>
                </w:p>
              </w:tc>
            </w:tr>
          </w:tbl>
          <w:p w14:paraId="356FEC9C" w14:textId="77777777" w:rsidR="006F6037" w:rsidRPr="00A24080" w:rsidRDefault="006F6037" w:rsidP="0028208B">
            <w:pPr>
              <w:ind w:right="90"/>
              <w:jc w:val="both"/>
              <w:rPr>
                <w:sz w:val="22"/>
                <w:szCs w:val="22"/>
                <w:lang w:val="ro-RO"/>
              </w:rPr>
            </w:pPr>
          </w:p>
        </w:tc>
        <w:tc>
          <w:tcPr>
            <w:tcW w:w="1418" w:type="dxa"/>
          </w:tcPr>
          <w:p w14:paraId="21D4F5D7" w14:textId="2B20B905"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1E7F26E" w14:textId="77777777" w:rsidR="006F6037" w:rsidRPr="00A24080" w:rsidRDefault="006F6037" w:rsidP="0028208B">
            <w:pPr>
              <w:jc w:val="both"/>
              <w:rPr>
                <w:bCs/>
                <w:sz w:val="22"/>
                <w:szCs w:val="22"/>
                <w:lang w:val="ro-RO"/>
              </w:rPr>
            </w:pPr>
          </w:p>
        </w:tc>
      </w:tr>
      <w:tr w:rsidR="006766CE" w:rsidRPr="00A24080" w14:paraId="242202D2" w14:textId="77777777" w:rsidTr="0028208B">
        <w:tc>
          <w:tcPr>
            <w:tcW w:w="5143" w:type="dxa"/>
          </w:tcPr>
          <w:p w14:paraId="469FCF11" w14:textId="3CE4E0CB" w:rsidR="006766CE" w:rsidRPr="00A24080" w:rsidRDefault="006766CE" w:rsidP="0028208B">
            <w:pPr>
              <w:ind w:right="90"/>
              <w:jc w:val="both"/>
              <w:rPr>
                <w:sz w:val="22"/>
                <w:szCs w:val="22"/>
                <w:lang w:val="ro-RO"/>
              </w:rPr>
            </w:pPr>
            <w:r w:rsidRPr="00A24080">
              <w:rPr>
                <w:sz w:val="22"/>
                <w:szCs w:val="22"/>
                <w:lang w:val="ro-RO"/>
              </w:rPr>
              <w:t>9.3 C 24.01 – Limita portofoliului de tranzacționare – Reclasificări ale pozițiilor din portofoliul de tranzacționare în poziții din afara portofoliului de tranzacționare sau invers (MOV)</w:t>
            </w:r>
          </w:p>
        </w:tc>
        <w:tc>
          <w:tcPr>
            <w:tcW w:w="5103" w:type="dxa"/>
          </w:tcPr>
          <w:p w14:paraId="7BD79CC2" w14:textId="611AD2C0" w:rsidR="006766CE" w:rsidRPr="00A24080" w:rsidRDefault="005C7217" w:rsidP="0028208B">
            <w:pPr>
              <w:ind w:right="90"/>
              <w:jc w:val="both"/>
              <w:rPr>
                <w:sz w:val="22"/>
                <w:szCs w:val="22"/>
                <w:lang w:val="ro-RO"/>
              </w:rPr>
            </w:pPr>
            <w:bookmarkStart w:id="43" w:name="_Hlk228954893"/>
            <w:r w:rsidRPr="00A24080">
              <w:rPr>
                <w:sz w:val="22"/>
                <w:szCs w:val="22"/>
                <w:lang w:val="ro-RO"/>
              </w:rPr>
              <w:t xml:space="preserve">Subsecțiunea 3. </w:t>
            </w:r>
            <w:r w:rsidR="006766CE" w:rsidRPr="00A24080">
              <w:rPr>
                <w:sz w:val="22"/>
                <w:szCs w:val="22"/>
                <w:lang w:val="ro-RO"/>
              </w:rPr>
              <w:t>C 24.01 – Limita portofoliului de tranzacționare – Reclasificări ale pozițiilor din portofoliul de tranzacționare în poziții din afara portofoliului de tranzacționare sau invers (MOV)</w:t>
            </w:r>
            <w:bookmarkEnd w:id="43"/>
          </w:p>
        </w:tc>
        <w:tc>
          <w:tcPr>
            <w:tcW w:w="1418" w:type="dxa"/>
          </w:tcPr>
          <w:p w14:paraId="19A5B9A9" w14:textId="4A4AB1E9"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5D0538D" w14:textId="77777777" w:rsidR="006766CE" w:rsidRPr="00A24080" w:rsidRDefault="006766CE" w:rsidP="0028208B">
            <w:pPr>
              <w:jc w:val="both"/>
              <w:rPr>
                <w:bCs/>
                <w:sz w:val="22"/>
                <w:szCs w:val="22"/>
                <w:lang w:val="ro-RO"/>
              </w:rPr>
            </w:pPr>
          </w:p>
        </w:tc>
      </w:tr>
      <w:tr w:rsidR="006766CE" w:rsidRPr="00A24080" w14:paraId="689181E6" w14:textId="77777777" w:rsidTr="0028208B">
        <w:tc>
          <w:tcPr>
            <w:tcW w:w="5143" w:type="dxa"/>
          </w:tcPr>
          <w:p w14:paraId="6B13F87F" w14:textId="7470E1DC" w:rsidR="006766CE" w:rsidRPr="00A24080" w:rsidRDefault="006766CE" w:rsidP="0028208B">
            <w:pPr>
              <w:ind w:right="90"/>
              <w:jc w:val="both"/>
              <w:rPr>
                <w:sz w:val="22"/>
                <w:szCs w:val="22"/>
                <w:lang w:val="ro-RO"/>
              </w:rPr>
            </w:pPr>
            <w:bookmarkStart w:id="44" w:name="_Hlk228954908"/>
            <w:r w:rsidRPr="00A24080">
              <w:rPr>
                <w:sz w:val="22"/>
                <w:szCs w:val="22"/>
                <w:lang w:val="ro-RO"/>
              </w:rPr>
              <w:t>9.3.1</w:t>
            </w:r>
            <w:r w:rsidRPr="00A24080">
              <w:rPr>
                <w:sz w:val="22"/>
                <w:szCs w:val="22"/>
                <w:lang w:val="ro-RO"/>
              </w:rPr>
              <w:tab/>
              <w:t>Observații generale</w:t>
            </w:r>
          </w:p>
        </w:tc>
        <w:tc>
          <w:tcPr>
            <w:tcW w:w="5103" w:type="dxa"/>
          </w:tcPr>
          <w:p w14:paraId="78312163" w14:textId="0105EF00" w:rsidR="006766CE" w:rsidRPr="00A24080" w:rsidRDefault="005C7217" w:rsidP="0028208B">
            <w:pPr>
              <w:ind w:right="90"/>
              <w:jc w:val="both"/>
              <w:rPr>
                <w:sz w:val="22"/>
                <w:szCs w:val="22"/>
                <w:lang w:val="ro-RO"/>
              </w:rPr>
            </w:pPr>
            <w:r w:rsidRPr="00A24080">
              <w:rPr>
                <w:sz w:val="22"/>
                <w:szCs w:val="22"/>
                <w:lang w:val="ro-RO"/>
              </w:rPr>
              <w:t>Paragraful 1.</w:t>
            </w:r>
            <w:r w:rsidR="006766CE" w:rsidRPr="00A24080">
              <w:rPr>
                <w:sz w:val="22"/>
                <w:szCs w:val="22"/>
                <w:lang w:val="ro-RO"/>
              </w:rPr>
              <w:tab/>
              <w:t>Observații generale</w:t>
            </w:r>
          </w:p>
        </w:tc>
        <w:tc>
          <w:tcPr>
            <w:tcW w:w="1418" w:type="dxa"/>
          </w:tcPr>
          <w:p w14:paraId="0FDAB98C" w14:textId="45874B5C"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50CD699" w14:textId="77777777" w:rsidR="006766CE" w:rsidRPr="00A24080" w:rsidRDefault="006766CE" w:rsidP="0028208B">
            <w:pPr>
              <w:jc w:val="both"/>
              <w:rPr>
                <w:bCs/>
                <w:sz w:val="22"/>
                <w:szCs w:val="22"/>
                <w:lang w:val="ro-RO"/>
              </w:rPr>
            </w:pPr>
          </w:p>
        </w:tc>
      </w:tr>
      <w:bookmarkEnd w:id="44"/>
      <w:tr w:rsidR="006766CE" w:rsidRPr="00A24080" w14:paraId="0694CCC9" w14:textId="77777777" w:rsidTr="0028208B">
        <w:tc>
          <w:tcPr>
            <w:tcW w:w="5143" w:type="dxa"/>
          </w:tcPr>
          <w:p w14:paraId="799DCEDE" w14:textId="6255651E" w:rsidR="006766CE" w:rsidRPr="00A24080" w:rsidRDefault="006766CE" w:rsidP="0028208B">
            <w:pPr>
              <w:ind w:right="90"/>
              <w:jc w:val="both"/>
              <w:rPr>
                <w:sz w:val="22"/>
                <w:szCs w:val="22"/>
                <w:lang w:val="ro-RO"/>
              </w:rPr>
            </w:pPr>
            <w:r w:rsidRPr="00A24080">
              <w:rPr>
                <w:sz w:val="22"/>
                <w:szCs w:val="22"/>
                <w:lang w:val="ro-RO"/>
              </w:rPr>
              <w:t>210. Acest formular se utilizează pentru furnizarea de informații cu privire la reclasificarea pozițiilor în conformitate cu articolul 104a din Regulamentul (UE) nr. 575/2013.</w:t>
            </w:r>
          </w:p>
        </w:tc>
        <w:tc>
          <w:tcPr>
            <w:tcW w:w="5103" w:type="dxa"/>
          </w:tcPr>
          <w:p w14:paraId="36162125" w14:textId="567ED459" w:rsidR="006766CE" w:rsidRPr="00A24080" w:rsidRDefault="005C7217" w:rsidP="0028208B">
            <w:pPr>
              <w:ind w:right="90"/>
              <w:jc w:val="both"/>
              <w:rPr>
                <w:sz w:val="22"/>
                <w:szCs w:val="22"/>
                <w:lang w:val="ro-RO"/>
              </w:rPr>
            </w:pPr>
            <w:bookmarkStart w:id="45" w:name="_Hlk228954931"/>
            <w:r w:rsidRPr="00A24080">
              <w:rPr>
                <w:sz w:val="22"/>
                <w:szCs w:val="22"/>
                <w:lang w:val="ro-RO"/>
              </w:rPr>
              <w:t>7</w:t>
            </w:r>
            <w:r w:rsidR="006766CE" w:rsidRPr="00A24080">
              <w:rPr>
                <w:sz w:val="22"/>
                <w:szCs w:val="22"/>
                <w:lang w:val="ro-RO"/>
              </w:rPr>
              <w:t xml:space="preserve">. Acest formular se utilizează pentru furnizarea de informații cu privire la reclasificarea pozițiilor în conformitate cu </w:t>
            </w:r>
            <w:r w:rsidRPr="00A24080">
              <w:rPr>
                <w:sz w:val="22"/>
                <w:szCs w:val="22"/>
                <w:lang w:val="ro-RO"/>
              </w:rPr>
              <w:t>titlul I capitolul III secțiunea 4 din Regulamentul nr.XX/2026</w:t>
            </w:r>
            <w:r w:rsidR="006766CE" w:rsidRPr="00A24080">
              <w:rPr>
                <w:sz w:val="22"/>
                <w:szCs w:val="22"/>
                <w:lang w:val="ro-RO"/>
              </w:rPr>
              <w:t>.</w:t>
            </w:r>
            <w:bookmarkEnd w:id="45"/>
          </w:p>
        </w:tc>
        <w:tc>
          <w:tcPr>
            <w:tcW w:w="1418" w:type="dxa"/>
          </w:tcPr>
          <w:p w14:paraId="0A026415" w14:textId="5E46841B"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8C632BA" w14:textId="77777777" w:rsidR="006766CE" w:rsidRPr="00A24080" w:rsidRDefault="006766CE" w:rsidP="0028208B">
            <w:pPr>
              <w:jc w:val="both"/>
              <w:rPr>
                <w:bCs/>
                <w:sz w:val="22"/>
                <w:szCs w:val="22"/>
                <w:lang w:val="ro-RO"/>
              </w:rPr>
            </w:pPr>
          </w:p>
        </w:tc>
      </w:tr>
      <w:tr w:rsidR="006766CE" w:rsidRPr="00A24080" w14:paraId="33CF7F5F" w14:textId="77777777" w:rsidTr="0028208B">
        <w:tc>
          <w:tcPr>
            <w:tcW w:w="5143" w:type="dxa"/>
          </w:tcPr>
          <w:p w14:paraId="503BB80E" w14:textId="229E1F99" w:rsidR="006766CE" w:rsidRPr="00A24080" w:rsidRDefault="006766CE" w:rsidP="0028208B">
            <w:pPr>
              <w:ind w:right="90"/>
              <w:jc w:val="both"/>
              <w:rPr>
                <w:sz w:val="22"/>
                <w:szCs w:val="22"/>
                <w:lang w:val="ro-RO"/>
              </w:rPr>
            </w:pPr>
            <w:r w:rsidRPr="00A24080">
              <w:rPr>
                <w:sz w:val="22"/>
                <w:szCs w:val="22"/>
                <w:lang w:val="ro-RO"/>
              </w:rPr>
              <w:lastRenderedPageBreak/>
              <w:t>211. Reclasificările se raportează în acest formular numai în următoarele două cazuri:</w:t>
            </w:r>
          </w:p>
          <w:p w14:paraId="1E10C65B" w14:textId="77777777" w:rsidR="006766CE" w:rsidRPr="00A24080" w:rsidRDefault="006766CE" w:rsidP="0028208B">
            <w:pPr>
              <w:ind w:right="90"/>
              <w:jc w:val="both"/>
              <w:rPr>
                <w:sz w:val="22"/>
                <w:szCs w:val="22"/>
                <w:lang w:val="ro-RO"/>
              </w:rPr>
            </w:pPr>
            <w:r w:rsidRPr="00A24080">
              <w:rPr>
                <w:sz w:val="22"/>
                <w:szCs w:val="22"/>
                <w:lang w:val="ro-RO"/>
              </w:rPr>
              <w:t>(a)</w:t>
            </w:r>
            <w:r w:rsidRPr="00A24080">
              <w:rPr>
                <w:sz w:val="22"/>
                <w:szCs w:val="22"/>
                <w:lang w:val="ro-RO"/>
              </w:rPr>
              <w:tab/>
              <w:t>în cazul în care autoritatea competentă a acordat aprobarea de reclasificare a unei poziții din portofoliul de tranzacționare în poziție din afara portofoliului de tranzacționare sau invers;</w:t>
            </w:r>
          </w:p>
          <w:p w14:paraId="1DEEAB78" w14:textId="04965FAA" w:rsidR="006766CE" w:rsidRPr="00A24080" w:rsidRDefault="006766CE" w:rsidP="0028208B">
            <w:pPr>
              <w:ind w:right="90"/>
              <w:jc w:val="both"/>
              <w:rPr>
                <w:sz w:val="22"/>
                <w:szCs w:val="22"/>
                <w:lang w:val="ro-RO"/>
              </w:rPr>
            </w:pPr>
            <w:r w:rsidRPr="00A24080">
              <w:rPr>
                <w:sz w:val="22"/>
                <w:szCs w:val="22"/>
                <w:lang w:val="ro-RO"/>
              </w:rPr>
              <w:t>(b)</w:t>
            </w:r>
            <w:r w:rsidRPr="00A24080">
              <w:rPr>
                <w:sz w:val="22"/>
                <w:szCs w:val="22"/>
                <w:lang w:val="ro-RO"/>
              </w:rPr>
              <w:tab/>
              <w:t>în cazul în care reclasificarea îndeplinește condițiile prevăzute la articolul 104a alineatul (6) din Regulamentul (UE) nr. 575/2013 și poate fi efectuată fără aprobarea explicită a autorității competente.</w:t>
            </w:r>
          </w:p>
        </w:tc>
        <w:tc>
          <w:tcPr>
            <w:tcW w:w="5103" w:type="dxa"/>
          </w:tcPr>
          <w:p w14:paraId="4132007D" w14:textId="19CC2FA3" w:rsidR="006766CE" w:rsidRPr="00A24080" w:rsidRDefault="00AA3FE6" w:rsidP="0028208B">
            <w:pPr>
              <w:ind w:right="90"/>
              <w:jc w:val="both"/>
              <w:rPr>
                <w:sz w:val="22"/>
                <w:szCs w:val="22"/>
                <w:lang w:val="ro-RO"/>
              </w:rPr>
            </w:pPr>
            <w:bookmarkStart w:id="46" w:name="_Hlk228954952"/>
            <w:r w:rsidRPr="00A24080">
              <w:rPr>
                <w:sz w:val="22"/>
                <w:szCs w:val="22"/>
                <w:lang w:val="ro-RO"/>
              </w:rPr>
              <w:t>8</w:t>
            </w:r>
            <w:r w:rsidR="006766CE" w:rsidRPr="00A24080">
              <w:rPr>
                <w:sz w:val="22"/>
                <w:szCs w:val="22"/>
                <w:lang w:val="ro-RO"/>
              </w:rPr>
              <w:t>. Reclasificările se raportează în acest formular numai în următoarele două cazuri:</w:t>
            </w:r>
          </w:p>
          <w:p w14:paraId="36499BB2" w14:textId="0DA1055F" w:rsidR="006766CE" w:rsidRPr="00A24080" w:rsidRDefault="00AA3FE6" w:rsidP="0028208B">
            <w:pPr>
              <w:ind w:right="90"/>
              <w:jc w:val="both"/>
              <w:rPr>
                <w:sz w:val="22"/>
                <w:szCs w:val="22"/>
                <w:lang w:val="ro-RO"/>
              </w:rPr>
            </w:pPr>
            <w:r w:rsidRPr="00A24080">
              <w:rPr>
                <w:sz w:val="22"/>
                <w:szCs w:val="22"/>
                <w:lang w:val="ro-RO"/>
              </w:rPr>
              <w:t>8.1.</w:t>
            </w:r>
            <w:r w:rsidR="006766CE" w:rsidRPr="00A24080">
              <w:rPr>
                <w:sz w:val="22"/>
                <w:szCs w:val="22"/>
                <w:lang w:val="ro-RO"/>
              </w:rPr>
              <w:tab/>
              <w:t xml:space="preserve">în cazul în care </w:t>
            </w:r>
            <w:r w:rsidR="002940BB" w:rsidRPr="00A24080">
              <w:rPr>
                <w:sz w:val="22"/>
                <w:szCs w:val="22"/>
                <w:lang w:val="ro-RO"/>
              </w:rPr>
              <w:t>BNM</w:t>
            </w:r>
            <w:r w:rsidR="006766CE" w:rsidRPr="00A24080">
              <w:rPr>
                <w:sz w:val="22"/>
                <w:szCs w:val="22"/>
                <w:lang w:val="ro-RO"/>
              </w:rPr>
              <w:t xml:space="preserve"> a acordat aprobarea de reclasificare a unei poziții din portofoliul de tranzacționare în poziție din afara portofoliului de tranzacționare sau invers;</w:t>
            </w:r>
          </w:p>
          <w:p w14:paraId="6834DEDA" w14:textId="275D4C6A" w:rsidR="006766CE" w:rsidRPr="00A24080" w:rsidRDefault="00AA3FE6" w:rsidP="0028208B">
            <w:pPr>
              <w:ind w:right="90"/>
              <w:jc w:val="both"/>
              <w:rPr>
                <w:sz w:val="22"/>
                <w:szCs w:val="22"/>
                <w:lang w:val="ro-RO"/>
              </w:rPr>
            </w:pPr>
            <w:r w:rsidRPr="00A24080">
              <w:rPr>
                <w:sz w:val="22"/>
                <w:szCs w:val="22"/>
                <w:lang w:val="ro-RO"/>
              </w:rPr>
              <w:t>8.2.</w:t>
            </w:r>
            <w:r w:rsidR="006766CE" w:rsidRPr="00A24080">
              <w:rPr>
                <w:sz w:val="22"/>
                <w:szCs w:val="22"/>
                <w:lang w:val="ro-RO"/>
              </w:rPr>
              <w:tab/>
              <w:t xml:space="preserve">în cazul în care reclasificarea îndeplinește condițiile prevăzute la </w:t>
            </w:r>
            <w:r w:rsidRPr="00A24080">
              <w:rPr>
                <w:sz w:val="22"/>
                <w:szCs w:val="22"/>
                <w:lang w:val="ro-RO"/>
              </w:rPr>
              <w:t>pct.31 din Regulamentul nr.XX/2026</w:t>
            </w:r>
            <w:r w:rsidR="006766CE" w:rsidRPr="00A24080">
              <w:rPr>
                <w:sz w:val="22"/>
                <w:szCs w:val="22"/>
                <w:lang w:val="ro-RO"/>
              </w:rPr>
              <w:t xml:space="preserve"> și poate fi efectuată fără aprobarea explicită a </w:t>
            </w:r>
            <w:r w:rsidR="002940BB" w:rsidRPr="00A24080">
              <w:rPr>
                <w:sz w:val="22"/>
                <w:szCs w:val="22"/>
                <w:lang w:val="ro-RO"/>
              </w:rPr>
              <w:t>BNM</w:t>
            </w:r>
            <w:r w:rsidR="006766CE" w:rsidRPr="00A24080">
              <w:rPr>
                <w:sz w:val="22"/>
                <w:szCs w:val="22"/>
                <w:lang w:val="ro-RO"/>
              </w:rPr>
              <w:t>.</w:t>
            </w:r>
            <w:bookmarkEnd w:id="46"/>
          </w:p>
        </w:tc>
        <w:tc>
          <w:tcPr>
            <w:tcW w:w="1418" w:type="dxa"/>
          </w:tcPr>
          <w:p w14:paraId="4F563D3E" w14:textId="59E9F594"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A784A84" w14:textId="77777777" w:rsidR="006766CE" w:rsidRPr="00A24080" w:rsidRDefault="006766CE" w:rsidP="0028208B">
            <w:pPr>
              <w:jc w:val="both"/>
              <w:rPr>
                <w:bCs/>
                <w:sz w:val="22"/>
                <w:szCs w:val="22"/>
                <w:lang w:val="ro-RO"/>
              </w:rPr>
            </w:pPr>
          </w:p>
        </w:tc>
      </w:tr>
      <w:tr w:rsidR="006766CE" w:rsidRPr="00A24080" w14:paraId="67AE1010" w14:textId="77777777" w:rsidTr="0028208B">
        <w:tc>
          <w:tcPr>
            <w:tcW w:w="5143" w:type="dxa"/>
          </w:tcPr>
          <w:p w14:paraId="65AA2118" w14:textId="69D05209" w:rsidR="006766CE" w:rsidRPr="00A24080" w:rsidRDefault="006766CE" w:rsidP="0028208B">
            <w:pPr>
              <w:ind w:right="90"/>
              <w:jc w:val="both"/>
              <w:rPr>
                <w:sz w:val="22"/>
                <w:szCs w:val="22"/>
                <w:lang w:val="ro-RO"/>
              </w:rPr>
            </w:pPr>
            <w:r w:rsidRPr="00A24080">
              <w:rPr>
                <w:sz w:val="22"/>
                <w:szCs w:val="22"/>
                <w:lang w:val="ro-RO"/>
              </w:rPr>
              <w:t>212. În formular se raportează următoarele instrumente reclasificate:</w:t>
            </w:r>
          </w:p>
          <w:p w14:paraId="4AC48AFB" w14:textId="77777777" w:rsidR="006766CE" w:rsidRPr="00A24080" w:rsidRDefault="006766CE" w:rsidP="0028208B">
            <w:pPr>
              <w:ind w:right="90"/>
              <w:jc w:val="both"/>
              <w:rPr>
                <w:sz w:val="22"/>
                <w:szCs w:val="22"/>
                <w:lang w:val="ro-RO"/>
              </w:rPr>
            </w:pPr>
            <w:r w:rsidRPr="00A24080">
              <w:rPr>
                <w:sz w:val="22"/>
                <w:szCs w:val="22"/>
                <w:lang w:val="ro-RO"/>
              </w:rPr>
              <w:t>(a)</w:t>
            </w:r>
            <w:r w:rsidRPr="00A24080">
              <w:rPr>
                <w:sz w:val="22"/>
                <w:szCs w:val="22"/>
                <w:lang w:val="ro-RO"/>
              </w:rPr>
              <w:tab/>
              <w:t>instrumente reclasificate în cursul trimestrului la care se referă raportul. Se raportează în formular toate instrumentele reclasificate în cursul trimestrului, indiferent dacă reclasificarea conduce sau nu la o reducere a cerințelor de fonduri proprii. Un instrument reclasificat în cursul trimestrului se raportează chiar dacă instrumentul a fost derecunoscut sau a ajuns la scadență între data reclasificării și data de referință a raportului;</w:t>
            </w:r>
          </w:p>
          <w:p w14:paraId="7114A349" w14:textId="77777777" w:rsidR="006766CE" w:rsidRPr="00A24080" w:rsidRDefault="006766CE" w:rsidP="0028208B">
            <w:pPr>
              <w:ind w:right="90"/>
              <w:jc w:val="both"/>
              <w:rPr>
                <w:sz w:val="22"/>
                <w:szCs w:val="22"/>
                <w:lang w:val="ro-RO"/>
              </w:rPr>
            </w:pPr>
            <w:r w:rsidRPr="00A24080">
              <w:rPr>
                <w:sz w:val="22"/>
                <w:szCs w:val="22"/>
                <w:lang w:val="ro-RO"/>
              </w:rPr>
              <w:t>(b)</w:t>
            </w:r>
            <w:r w:rsidRPr="00A24080">
              <w:rPr>
                <w:sz w:val="22"/>
                <w:szCs w:val="22"/>
                <w:lang w:val="ro-RO"/>
              </w:rPr>
              <w:tab/>
              <w:t xml:space="preserve">instrumentele reclasificate în perioadele de raportare anterioare care atrag în continuare o cerință de fonduri proprii în conformitate cu articolul 104a alineatul (3) litera (b) din Regulamentul (UE) nr. 575/2013 începând cu data de referință a raportului; </w:t>
            </w:r>
          </w:p>
          <w:p w14:paraId="5AB18163" w14:textId="3FC91B22" w:rsidR="006766CE" w:rsidRPr="00A24080" w:rsidRDefault="006766CE" w:rsidP="0028208B">
            <w:pPr>
              <w:ind w:right="90"/>
              <w:jc w:val="both"/>
              <w:rPr>
                <w:sz w:val="22"/>
                <w:szCs w:val="22"/>
                <w:lang w:val="ro-RO"/>
              </w:rPr>
            </w:pPr>
            <w:r w:rsidRPr="00A24080">
              <w:rPr>
                <w:sz w:val="22"/>
                <w:szCs w:val="22"/>
                <w:lang w:val="ro-RO"/>
              </w:rPr>
              <w:t>(c)</w:t>
            </w:r>
            <w:r w:rsidRPr="00A24080">
              <w:rPr>
                <w:sz w:val="22"/>
                <w:szCs w:val="22"/>
                <w:lang w:val="ro-RO"/>
              </w:rPr>
              <w:tab/>
              <w:t>instrumentele reclasificate în perioadele de raportare anterioare care au atras o cerință de fonduri proprii în conformitate cu articolul 104a alineatul (3) litera (b) din Regulamentul (UE) nr. 575/2013 la data de referință precedentă, în cazul în care decizia autorității competente de a aproba recunoașterea reducerii cerințelor de fonduri proprii intră în vigoare în cursul trimestrului la care se referă raportul.</w:t>
            </w:r>
          </w:p>
        </w:tc>
        <w:tc>
          <w:tcPr>
            <w:tcW w:w="5103" w:type="dxa"/>
          </w:tcPr>
          <w:p w14:paraId="2C41B4EE" w14:textId="5FB090FF" w:rsidR="006766CE" w:rsidRPr="00A24080" w:rsidRDefault="00AA3FE6" w:rsidP="0028208B">
            <w:pPr>
              <w:ind w:right="90"/>
              <w:jc w:val="both"/>
              <w:rPr>
                <w:sz w:val="22"/>
                <w:szCs w:val="22"/>
                <w:lang w:val="ro-RO"/>
              </w:rPr>
            </w:pPr>
            <w:bookmarkStart w:id="47" w:name="_Hlk228954975"/>
            <w:r w:rsidRPr="00A24080">
              <w:rPr>
                <w:sz w:val="22"/>
                <w:szCs w:val="22"/>
                <w:lang w:val="ro-RO"/>
              </w:rPr>
              <w:t>9</w:t>
            </w:r>
            <w:r w:rsidR="006766CE" w:rsidRPr="00A24080">
              <w:rPr>
                <w:sz w:val="22"/>
                <w:szCs w:val="22"/>
                <w:lang w:val="ro-RO"/>
              </w:rPr>
              <w:t>. În formular se raportează următoarele instrumente reclasificate:</w:t>
            </w:r>
          </w:p>
          <w:p w14:paraId="6FC6EBD2" w14:textId="13B76F04" w:rsidR="006766CE" w:rsidRPr="00A24080" w:rsidRDefault="004A44BC" w:rsidP="0028208B">
            <w:pPr>
              <w:ind w:right="90"/>
              <w:jc w:val="both"/>
              <w:rPr>
                <w:sz w:val="22"/>
                <w:szCs w:val="22"/>
                <w:lang w:val="ro-RO"/>
              </w:rPr>
            </w:pPr>
            <w:r w:rsidRPr="00A24080">
              <w:rPr>
                <w:sz w:val="22"/>
                <w:szCs w:val="22"/>
                <w:lang w:val="ro-RO"/>
              </w:rPr>
              <w:t>9.1.</w:t>
            </w:r>
            <w:r w:rsidR="006766CE" w:rsidRPr="00A24080">
              <w:rPr>
                <w:sz w:val="22"/>
                <w:szCs w:val="22"/>
                <w:lang w:val="ro-RO"/>
              </w:rPr>
              <w:tab/>
              <w:t>instrumente reclasificate în cursul trimestrului la care se referă raportul. Se raportează în formular toate instrumentele reclasificate în cursul trimestrului, indiferent dacă reclasificarea conduce sau nu la o reducere a cerințelor de fonduri proprii. Un instrument reclasificat în cursul trimestrului se raportează chiar dacă instrumentul a fost derecunoscut sau a ajuns la scadență între data reclasificării și data de referință a raportului;</w:t>
            </w:r>
          </w:p>
          <w:p w14:paraId="3D51BD91" w14:textId="216B9D74" w:rsidR="006766CE" w:rsidRPr="00A24080" w:rsidRDefault="004A44BC" w:rsidP="0028208B">
            <w:pPr>
              <w:ind w:right="90"/>
              <w:jc w:val="both"/>
              <w:rPr>
                <w:sz w:val="22"/>
                <w:szCs w:val="22"/>
                <w:lang w:val="ro-RO"/>
              </w:rPr>
            </w:pPr>
            <w:r w:rsidRPr="00A24080">
              <w:rPr>
                <w:sz w:val="22"/>
                <w:szCs w:val="22"/>
                <w:lang w:val="ro-RO"/>
              </w:rPr>
              <w:t>9.2.</w:t>
            </w:r>
            <w:r w:rsidR="006766CE" w:rsidRPr="00A24080">
              <w:rPr>
                <w:sz w:val="22"/>
                <w:szCs w:val="22"/>
                <w:lang w:val="ro-RO"/>
              </w:rPr>
              <w:tab/>
              <w:t xml:space="preserve">instrumentele reclasificate în perioadele de raportare anterioare care atrag în continuare o cerință de fonduri proprii în conformitate cu </w:t>
            </w:r>
            <w:r w:rsidR="00AA3FE6" w:rsidRPr="00A24080">
              <w:rPr>
                <w:sz w:val="22"/>
                <w:szCs w:val="22"/>
                <w:lang w:val="ro-RO"/>
              </w:rPr>
              <w:t>subpct.28.2 din Regulamentul nr.XX/2026</w:t>
            </w:r>
            <w:r w:rsidR="006766CE" w:rsidRPr="00A24080">
              <w:rPr>
                <w:sz w:val="22"/>
                <w:szCs w:val="22"/>
                <w:lang w:val="ro-RO"/>
              </w:rPr>
              <w:t xml:space="preserve"> începând cu data de referință a raportului; </w:t>
            </w:r>
          </w:p>
          <w:p w14:paraId="66BD8888" w14:textId="21AAFBB1" w:rsidR="006766CE" w:rsidRPr="00A24080" w:rsidRDefault="004A44BC" w:rsidP="0028208B">
            <w:pPr>
              <w:ind w:right="90"/>
              <w:jc w:val="both"/>
              <w:rPr>
                <w:sz w:val="22"/>
                <w:szCs w:val="22"/>
                <w:lang w:val="ro-RO"/>
              </w:rPr>
            </w:pPr>
            <w:r w:rsidRPr="00A24080">
              <w:rPr>
                <w:sz w:val="22"/>
                <w:szCs w:val="22"/>
                <w:lang w:val="ro-RO"/>
              </w:rPr>
              <w:t>9.3.</w:t>
            </w:r>
            <w:r w:rsidR="006766CE" w:rsidRPr="00A24080">
              <w:rPr>
                <w:sz w:val="22"/>
                <w:szCs w:val="22"/>
                <w:lang w:val="ro-RO"/>
              </w:rPr>
              <w:tab/>
              <w:t xml:space="preserve">instrumentele reclasificate în perioadele de raportare anterioare care au atras o cerință de fonduri proprii în conformitate cu </w:t>
            </w:r>
            <w:r w:rsidR="00AA3FE6" w:rsidRPr="00A24080">
              <w:rPr>
                <w:sz w:val="22"/>
                <w:szCs w:val="22"/>
                <w:lang w:val="ro-RO"/>
              </w:rPr>
              <w:t xml:space="preserve">subpct.28.2 din Regulamentul nr.XX/2026 </w:t>
            </w:r>
            <w:r w:rsidR="006766CE" w:rsidRPr="00A24080">
              <w:rPr>
                <w:sz w:val="22"/>
                <w:szCs w:val="22"/>
                <w:lang w:val="ro-RO"/>
              </w:rPr>
              <w:t xml:space="preserve">la data de referință precedentă, în cazul în care decizia </w:t>
            </w:r>
            <w:r w:rsidRPr="00A24080">
              <w:rPr>
                <w:sz w:val="22"/>
                <w:szCs w:val="22"/>
                <w:lang w:val="ro-RO"/>
              </w:rPr>
              <w:t>BNM</w:t>
            </w:r>
            <w:r w:rsidR="006766CE" w:rsidRPr="00A24080">
              <w:rPr>
                <w:sz w:val="22"/>
                <w:szCs w:val="22"/>
                <w:lang w:val="ro-RO"/>
              </w:rPr>
              <w:t xml:space="preserve"> de a aproba recunoașterea reducerii cerințelor de fonduri proprii intră în vigoare în cursul trimestrului la care se referă raportul.</w:t>
            </w:r>
            <w:bookmarkEnd w:id="47"/>
          </w:p>
        </w:tc>
        <w:tc>
          <w:tcPr>
            <w:tcW w:w="1418" w:type="dxa"/>
          </w:tcPr>
          <w:p w14:paraId="102BB3E2" w14:textId="45E602EA"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7A09CD8" w14:textId="77777777" w:rsidR="006766CE" w:rsidRPr="00A24080" w:rsidRDefault="006766CE" w:rsidP="0028208B">
            <w:pPr>
              <w:jc w:val="both"/>
              <w:rPr>
                <w:bCs/>
                <w:sz w:val="22"/>
                <w:szCs w:val="22"/>
                <w:lang w:val="ro-RO"/>
              </w:rPr>
            </w:pPr>
          </w:p>
        </w:tc>
      </w:tr>
      <w:tr w:rsidR="006766CE" w:rsidRPr="00A24080" w14:paraId="2F98D877" w14:textId="77777777" w:rsidTr="0028208B">
        <w:tc>
          <w:tcPr>
            <w:tcW w:w="5143" w:type="dxa"/>
          </w:tcPr>
          <w:p w14:paraId="2B609A54" w14:textId="0BE4DC3C" w:rsidR="006766CE" w:rsidRPr="00A24080" w:rsidRDefault="006766CE" w:rsidP="0028208B">
            <w:pPr>
              <w:ind w:right="90"/>
              <w:jc w:val="both"/>
              <w:rPr>
                <w:sz w:val="22"/>
                <w:szCs w:val="22"/>
                <w:lang w:val="ro-RO"/>
              </w:rPr>
            </w:pPr>
            <w:r w:rsidRPr="00A24080">
              <w:rPr>
                <w:sz w:val="22"/>
                <w:szCs w:val="22"/>
                <w:lang w:val="ro-RO"/>
              </w:rPr>
              <w:lastRenderedPageBreak/>
              <w:t>213. Instituțiile raportează informații privind reclasificarea separat pentru fiecare instrument care a fost reclasificat.</w:t>
            </w:r>
          </w:p>
        </w:tc>
        <w:tc>
          <w:tcPr>
            <w:tcW w:w="5103" w:type="dxa"/>
          </w:tcPr>
          <w:p w14:paraId="340D59E4" w14:textId="43504611" w:rsidR="006766CE" w:rsidRPr="00A24080" w:rsidRDefault="004A44BC" w:rsidP="0028208B">
            <w:pPr>
              <w:ind w:right="90"/>
              <w:jc w:val="both"/>
              <w:rPr>
                <w:sz w:val="22"/>
                <w:szCs w:val="22"/>
                <w:lang w:val="ro-RO"/>
              </w:rPr>
            </w:pPr>
            <w:bookmarkStart w:id="48" w:name="_Hlk228954992"/>
            <w:r w:rsidRPr="00A24080">
              <w:rPr>
                <w:sz w:val="22"/>
                <w:szCs w:val="22"/>
                <w:lang w:val="ro-RO"/>
              </w:rPr>
              <w:t>10</w:t>
            </w:r>
            <w:r w:rsidR="006766CE" w:rsidRPr="00A24080">
              <w:rPr>
                <w:sz w:val="22"/>
                <w:szCs w:val="22"/>
                <w:lang w:val="ro-RO"/>
              </w:rPr>
              <w:t xml:space="preserve">. </w:t>
            </w:r>
            <w:r w:rsidR="00F466E1" w:rsidRPr="00A24080">
              <w:rPr>
                <w:sz w:val="22"/>
                <w:szCs w:val="22"/>
                <w:lang w:val="ro-RO"/>
              </w:rPr>
              <w:t xml:space="preserve">Băncile </w:t>
            </w:r>
            <w:r w:rsidR="006766CE" w:rsidRPr="00A24080">
              <w:rPr>
                <w:sz w:val="22"/>
                <w:szCs w:val="22"/>
                <w:lang w:val="ro-RO"/>
              </w:rPr>
              <w:t>raportează informații privind reclasificarea separat pentru fiecare instrument care a fost reclasificat.</w:t>
            </w:r>
            <w:bookmarkEnd w:id="48"/>
          </w:p>
        </w:tc>
        <w:tc>
          <w:tcPr>
            <w:tcW w:w="1418" w:type="dxa"/>
          </w:tcPr>
          <w:p w14:paraId="7F3E3D57" w14:textId="34CAFD97"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1C437AE" w14:textId="77777777" w:rsidR="006766CE" w:rsidRPr="00A24080" w:rsidRDefault="006766CE" w:rsidP="0028208B">
            <w:pPr>
              <w:jc w:val="both"/>
              <w:rPr>
                <w:bCs/>
                <w:sz w:val="22"/>
                <w:szCs w:val="22"/>
                <w:lang w:val="ro-RO"/>
              </w:rPr>
            </w:pPr>
          </w:p>
        </w:tc>
      </w:tr>
      <w:tr w:rsidR="006766CE" w:rsidRPr="00A24080" w14:paraId="6AA1C1F4" w14:textId="77777777" w:rsidTr="0028208B">
        <w:tc>
          <w:tcPr>
            <w:tcW w:w="5143" w:type="dxa"/>
          </w:tcPr>
          <w:p w14:paraId="32EAD1ED" w14:textId="249ADB23" w:rsidR="006766CE" w:rsidRPr="00A24080" w:rsidRDefault="006766CE" w:rsidP="0028208B">
            <w:pPr>
              <w:ind w:right="90"/>
              <w:jc w:val="both"/>
              <w:rPr>
                <w:sz w:val="22"/>
                <w:szCs w:val="22"/>
                <w:lang w:val="ro-RO"/>
              </w:rPr>
            </w:pPr>
            <w:r w:rsidRPr="00A24080">
              <w:rPr>
                <w:sz w:val="22"/>
                <w:szCs w:val="22"/>
                <w:lang w:val="ro-RO"/>
              </w:rPr>
              <w:t>214. Câmpul «grup de compensare» se utilizează pentru a se indica grupul de compensare care include entitatea care deținea poziția la data de referință sau la data scadenței sau a derecunoașterii, după caz.</w:t>
            </w:r>
          </w:p>
        </w:tc>
        <w:tc>
          <w:tcPr>
            <w:tcW w:w="5103" w:type="dxa"/>
          </w:tcPr>
          <w:p w14:paraId="7584332E" w14:textId="2EA3E237" w:rsidR="006766CE" w:rsidRPr="00A24080" w:rsidRDefault="004A44BC" w:rsidP="0028208B">
            <w:pPr>
              <w:ind w:right="90"/>
              <w:jc w:val="both"/>
              <w:rPr>
                <w:sz w:val="22"/>
                <w:szCs w:val="22"/>
                <w:lang w:val="ro-RO"/>
              </w:rPr>
            </w:pPr>
            <w:bookmarkStart w:id="49" w:name="_Hlk228955006"/>
            <w:r w:rsidRPr="00A24080">
              <w:rPr>
                <w:sz w:val="22"/>
                <w:szCs w:val="22"/>
                <w:lang w:val="ro-RO"/>
              </w:rPr>
              <w:t>11</w:t>
            </w:r>
            <w:r w:rsidR="006766CE" w:rsidRPr="00A24080">
              <w:rPr>
                <w:sz w:val="22"/>
                <w:szCs w:val="22"/>
                <w:lang w:val="ro-RO"/>
              </w:rPr>
              <w:t>. Câmpul «grup de compensare» se utilizează pentru a se indica grupul de compensare care include entitatea care deținea poziția la data de referință sau la data scadenței sau a derecunoașterii, după caz.</w:t>
            </w:r>
            <w:bookmarkEnd w:id="49"/>
          </w:p>
        </w:tc>
        <w:tc>
          <w:tcPr>
            <w:tcW w:w="1418" w:type="dxa"/>
          </w:tcPr>
          <w:p w14:paraId="6BAC73DA" w14:textId="263DC0C9"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51E5740C" w14:textId="77777777" w:rsidR="006766CE" w:rsidRPr="00A24080" w:rsidRDefault="006766CE" w:rsidP="0028208B">
            <w:pPr>
              <w:jc w:val="both"/>
              <w:rPr>
                <w:bCs/>
                <w:sz w:val="22"/>
                <w:szCs w:val="22"/>
                <w:lang w:val="ro-RO"/>
              </w:rPr>
            </w:pPr>
          </w:p>
        </w:tc>
      </w:tr>
      <w:tr w:rsidR="006F6037" w:rsidRPr="00A24080" w14:paraId="7BC1AF7B" w14:textId="77777777" w:rsidTr="0028208B">
        <w:tc>
          <w:tcPr>
            <w:tcW w:w="5143" w:type="dxa"/>
          </w:tcPr>
          <w:p w14:paraId="2A464D56" w14:textId="70956A93" w:rsidR="006F6037" w:rsidRPr="00A24080" w:rsidRDefault="006766CE" w:rsidP="0028208B">
            <w:pPr>
              <w:ind w:right="90"/>
              <w:jc w:val="both"/>
              <w:rPr>
                <w:sz w:val="22"/>
                <w:szCs w:val="22"/>
                <w:lang w:val="ro-RO"/>
              </w:rPr>
            </w:pPr>
            <w:r w:rsidRPr="00A24080">
              <w:rPr>
                <w:sz w:val="22"/>
                <w:szCs w:val="22"/>
                <w:lang w:val="ro-RO"/>
              </w:rPr>
              <w:t>9.3.2 Instrucțiuni privind anumite poziții</w:t>
            </w:r>
          </w:p>
        </w:tc>
        <w:tc>
          <w:tcPr>
            <w:tcW w:w="5103" w:type="dxa"/>
          </w:tcPr>
          <w:p w14:paraId="66119795" w14:textId="24A289CF" w:rsidR="006F6037" w:rsidRPr="00A24080" w:rsidRDefault="006766CE" w:rsidP="0028208B">
            <w:pPr>
              <w:ind w:right="90"/>
              <w:jc w:val="both"/>
              <w:rPr>
                <w:sz w:val="22"/>
                <w:szCs w:val="22"/>
                <w:lang w:val="ro-RO"/>
              </w:rPr>
            </w:pPr>
            <w:r w:rsidRPr="00A24080">
              <w:rPr>
                <w:sz w:val="22"/>
                <w:szCs w:val="22"/>
                <w:lang w:val="ro-RO"/>
              </w:rPr>
              <w:t>Instrucțiuni privind anumite poziții</w:t>
            </w:r>
          </w:p>
        </w:tc>
        <w:tc>
          <w:tcPr>
            <w:tcW w:w="1418" w:type="dxa"/>
          </w:tcPr>
          <w:p w14:paraId="4BF129F0" w14:textId="59FAEE7B" w:rsidR="006F6037"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DE2AADC" w14:textId="77777777" w:rsidR="006F6037" w:rsidRPr="00A24080" w:rsidRDefault="006F6037" w:rsidP="0028208B">
            <w:pPr>
              <w:jc w:val="both"/>
              <w:rPr>
                <w:bCs/>
                <w:sz w:val="22"/>
                <w:szCs w:val="22"/>
                <w:lang w:val="ro-RO"/>
              </w:rPr>
            </w:pPr>
          </w:p>
        </w:tc>
      </w:tr>
      <w:tr w:rsidR="00D85EE0" w:rsidRPr="00A24080" w14:paraId="034BAB31"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A24080" w14:paraId="5D26D47C" w14:textId="77777777" w:rsidTr="003146FA">
              <w:tc>
                <w:tcPr>
                  <w:tcW w:w="1056" w:type="dxa"/>
                  <w:shd w:val="clear" w:color="auto" w:fill="BFBFBF" w:themeFill="background1" w:themeFillShade="BF"/>
                </w:tcPr>
                <w:p w14:paraId="4A140326" w14:textId="2910AAE4" w:rsidR="00D85EE0" w:rsidRPr="00A24080" w:rsidRDefault="00D85EE0" w:rsidP="0028208B">
                  <w:pPr>
                    <w:framePr w:hSpace="180" w:wrap="around" w:vAnchor="text" w:hAnchor="text" w:x="-612" w:y="1"/>
                    <w:ind w:right="90"/>
                    <w:suppressOverlap/>
                    <w:jc w:val="both"/>
                    <w:rPr>
                      <w:sz w:val="22"/>
                      <w:szCs w:val="22"/>
                      <w:lang w:val="ro-RO"/>
                    </w:rPr>
                  </w:pPr>
                  <w:r w:rsidRPr="00A24080">
                    <w:rPr>
                      <w:b/>
                      <w:sz w:val="22"/>
                      <w:szCs w:val="22"/>
                    </w:rPr>
                    <w:t>Coloană</w:t>
                  </w:r>
                </w:p>
              </w:tc>
              <w:tc>
                <w:tcPr>
                  <w:tcW w:w="3861" w:type="dxa"/>
                  <w:shd w:val="clear" w:color="auto" w:fill="BFBFBF" w:themeFill="background1" w:themeFillShade="BF"/>
                </w:tcPr>
                <w:p w14:paraId="7CC99A06" w14:textId="7F78B462" w:rsidR="00D85EE0" w:rsidRPr="00A24080" w:rsidRDefault="00D85EE0"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bl>
          <w:p w14:paraId="45999D83"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A24080" w14:paraId="6843EC2C" w14:textId="77777777" w:rsidTr="003146FA">
              <w:tc>
                <w:tcPr>
                  <w:tcW w:w="1056" w:type="dxa"/>
                  <w:shd w:val="clear" w:color="auto" w:fill="BFBFBF" w:themeFill="background1" w:themeFillShade="BF"/>
                </w:tcPr>
                <w:p w14:paraId="44D1C029"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b/>
                      <w:sz w:val="22"/>
                      <w:szCs w:val="22"/>
                    </w:rPr>
                    <w:t>Coloană</w:t>
                  </w:r>
                </w:p>
              </w:tc>
              <w:tc>
                <w:tcPr>
                  <w:tcW w:w="3861" w:type="dxa"/>
                  <w:shd w:val="clear" w:color="auto" w:fill="BFBFBF" w:themeFill="background1" w:themeFillShade="BF"/>
                </w:tcPr>
                <w:p w14:paraId="3DC5CC85"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b/>
                      <w:sz w:val="22"/>
                      <w:szCs w:val="22"/>
                    </w:rPr>
                    <w:t>Referințe juridice și instrucțiuni</w:t>
                  </w:r>
                </w:p>
              </w:tc>
            </w:tr>
          </w:tbl>
          <w:p w14:paraId="313C93B7" w14:textId="77777777" w:rsidR="00D85EE0" w:rsidRPr="00A24080" w:rsidRDefault="00D85EE0" w:rsidP="0028208B">
            <w:pPr>
              <w:ind w:right="90"/>
              <w:jc w:val="both"/>
              <w:rPr>
                <w:sz w:val="22"/>
                <w:szCs w:val="22"/>
                <w:lang w:val="ro-RO"/>
              </w:rPr>
            </w:pPr>
          </w:p>
        </w:tc>
        <w:tc>
          <w:tcPr>
            <w:tcW w:w="1418" w:type="dxa"/>
          </w:tcPr>
          <w:p w14:paraId="7BFBA73F" w14:textId="6EE742C3" w:rsidR="00D85EE0"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04C1EF1" w14:textId="77777777" w:rsidR="00D85EE0" w:rsidRPr="00A24080" w:rsidRDefault="00D85EE0" w:rsidP="0028208B">
            <w:pPr>
              <w:jc w:val="both"/>
              <w:rPr>
                <w:bCs/>
                <w:sz w:val="22"/>
                <w:szCs w:val="22"/>
                <w:lang w:val="ro-RO"/>
              </w:rPr>
            </w:pPr>
          </w:p>
        </w:tc>
      </w:tr>
      <w:tr w:rsidR="00D85EE0" w:rsidRPr="00A24080" w14:paraId="67C1DE98"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348824DD" w14:textId="77777777" w:rsidTr="003146FA">
              <w:tc>
                <w:tcPr>
                  <w:tcW w:w="1056" w:type="dxa"/>
                </w:tcPr>
                <w:p w14:paraId="35B28013" w14:textId="6AF58831"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0010</w:t>
                  </w:r>
                </w:p>
              </w:tc>
              <w:tc>
                <w:tcPr>
                  <w:tcW w:w="3861" w:type="dxa"/>
                  <w:vAlign w:val="bottom"/>
                </w:tcPr>
                <w:p w14:paraId="6876BFC7"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Identificatorul reclasificării</w:t>
                  </w:r>
                </w:p>
                <w:p w14:paraId="2EA8186D"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Codul intern (alfanumeric) utilizat de entitatea raportoare pentru a identifica instrumentul reclasificat sau reclasificarea, după caz.</w:t>
                  </w:r>
                </w:p>
                <w:p w14:paraId="01BDCCFE"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Fiecare reclasificare se asociază cu un identificator de reclasificare diferit. Identificatorul reclasificării atribuit uneia și aceleiași reclasificări trebuie să fie unic și utilizat în mod consecvent în timp și de la un raport la altul.</w:t>
                  </w:r>
                </w:p>
                <w:p w14:paraId="1BE82961" w14:textId="696DD302"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it-IT"/>
                    </w:rPr>
                    <w:t>Acest cod este un număr de identificare a rândului și trebuie să fie unic pentru fiecare rând din formular.</w:t>
                  </w:r>
                </w:p>
              </w:tc>
            </w:tr>
          </w:tbl>
          <w:p w14:paraId="6AFA31A6"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4C8F8A92" w14:textId="77777777" w:rsidTr="003146FA">
              <w:tc>
                <w:tcPr>
                  <w:tcW w:w="1056" w:type="dxa"/>
                </w:tcPr>
                <w:p w14:paraId="10C8365E"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0010</w:t>
                  </w:r>
                </w:p>
              </w:tc>
              <w:tc>
                <w:tcPr>
                  <w:tcW w:w="3861" w:type="dxa"/>
                  <w:vAlign w:val="bottom"/>
                </w:tcPr>
                <w:p w14:paraId="6BDA7A94"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Identificatorul reclasificării</w:t>
                  </w:r>
                </w:p>
                <w:p w14:paraId="379D7614"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Codul intern (alfanumeric) utilizat de entitatea raportoare pentru a identifica instrumentul reclasificat sau reclasificarea, după caz.</w:t>
                  </w:r>
                </w:p>
                <w:p w14:paraId="2EC7AFEA"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Fiecare reclasificare se asociază cu un identificator de reclasificare diferit. Identificatorul reclasificării atribuit uneia și aceleiași reclasificări trebuie să fie unic și utilizat în mod consecvent în timp și de la un raport la altul.</w:t>
                  </w:r>
                </w:p>
                <w:p w14:paraId="3DB464E5"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it-IT"/>
                    </w:rPr>
                    <w:t>Acest cod este un număr de identificare a rândului și trebuie să fie unic pentru fiecare rând din formular.</w:t>
                  </w:r>
                </w:p>
              </w:tc>
            </w:tr>
          </w:tbl>
          <w:p w14:paraId="1B4F8C17" w14:textId="77777777" w:rsidR="00D85EE0" w:rsidRPr="00A24080" w:rsidRDefault="00D85EE0" w:rsidP="0028208B">
            <w:pPr>
              <w:ind w:right="90"/>
              <w:jc w:val="both"/>
              <w:rPr>
                <w:sz w:val="22"/>
                <w:szCs w:val="22"/>
                <w:lang w:val="ro-RO"/>
              </w:rPr>
            </w:pPr>
          </w:p>
        </w:tc>
        <w:tc>
          <w:tcPr>
            <w:tcW w:w="1418" w:type="dxa"/>
          </w:tcPr>
          <w:p w14:paraId="55BE1FA7" w14:textId="14C3850E" w:rsidR="00D85EE0"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79D12693" w14:textId="77777777" w:rsidR="00D85EE0" w:rsidRPr="00A24080" w:rsidRDefault="00D85EE0" w:rsidP="0028208B">
            <w:pPr>
              <w:jc w:val="both"/>
              <w:rPr>
                <w:bCs/>
                <w:sz w:val="22"/>
                <w:szCs w:val="22"/>
                <w:lang w:val="ro-RO"/>
              </w:rPr>
            </w:pPr>
          </w:p>
        </w:tc>
      </w:tr>
      <w:tr w:rsidR="00D85EE0" w:rsidRPr="00A24080" w14:paraId="50F4B0A8"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1F8704B1" w14:textId="77777777" w:rsidTr="003146FA">
              <w:tc>
                <w:tcPr>
                  <w:tcW w:w="1056" w:type="dxa"/>
                </w:tcPr>
                <w:p w14:paraId="65FAF5B8" w14:textId="43C4B00E"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0020</w:t>
                  </w:r>
                </w:p>
              </w:tc>
              <w:tc>
                <w:tcPr>
                  <w:tcW w:w="3861" w:type="dxa"/>
                  <w:vAlign w:val="bottom"/>
                </w:tcPr>
                <w:p w14:paraId="6BA2EEB0"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Tipul de instrument</w:t>
                  </w:r>
                </w:p>
                <w:p w14:paraId="64ABBB77"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 xml:space="preserve">Scurtă descriere a instrumentului reclasificat, care să permită înțelegerea naturii și a principalelor caracteristici ale instrumentului reclasificat. </w:t>
                  </w:r>
                </w:p>
                <w:p w14:paraId="67B17FF7" w14:textId="2B43A2DE"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it-IT"/>
                    </w:rPr>
                    <w:lastRenderedPageBreak/>
                    <w:t xml:space="preserve">În cazul în care instrumentul care a fost reclasificat are un număr internațional de identificare a valorilor mobiliare («ISIN»), se include în descriere, pe lângă principalele caracteristici ale instrumentului, codul ISIN. </w:t>
                  </w:r>
                </w:p>
              </w:tc>
            </w:tr>
          </w:tbl>
          <w:p w14:paraId="2B691276"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0C72AF15" w14:textId="77777777" w:rsidTr="003146FA">
              <w:tc>
                <w:tcPr>
                  <w:tcW w:w="1056" w:type="dxa"/>
                </w:tcPr>
                <w:p w14:paraId="39C3D3AA"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lastRenderedPageBreak/>
                    <w:t>0020</w:t>
                  </w:r>
                </w:p>
              </w:tc>
              <w:tc>
                <w:tcPr>
                  <w:tcW w:w="3861" w:type="dxa"/>
                  <w:vAlign w:val="bottom"/>
                </w:tcPr>
                <w:p w14:paraId="289BE552"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Tipul de instrument</w:t>
                  </w:r>
                </w:p>
                <w:p w14:paraId="7FB935FB"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 xml:space="preserve">Scurtă descriere a instrumentului reclasificat, care să permită înțelegerea naturii și a principalelor caracteristici ale instrumentului reclasificat. </w:t>
                  </w:r>
                </w:p>
                <w:p w14:paraId="7F58CB0D"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it-IT"/>
                    </w:rPr>
                    <w:lastRenderedPageBreak/>
                    <w:t xml:space="preserve">În cazul în care instrumentul care a fost reclasificat are un număr internațional de identificare a valorilor mobiliare («ISIN»), se include în descriere, pe lângă principalele caracteristici ale instrumentului, codul ISIN. </w:t>
                  </w:r>
                </w:p>
              </w:tc>
            </w:tr>
          </w:tbl>
          <w:p w14:paraId="78F60CB5" w14:textId="77777777" w:rsidR="00D85EE0" w:rsidRPr="00A24080" w:rsidRDefault="00D85EE0" w:rsidP="0028208B">
            <w:pPr>
              <w:ind w:right="90"/>
              <w:jc w:val="both"/>
              <w:rPr>
                <w:sz w:val="22"/>
                <w:szCs w:val="22"/>
                <w:lang w:val="ro-RO"/>
              </w:rPr>
            </w:pPr>
          </w:p>
        </w:tc>
        <w:tc>
          <w:tcPr>
            <w:tcW w:w="1418" w:type="dxa"/>
          </w:tcPr>
          <w:p w14:paraId="125285C6" w14:textId="22BB64BE" w:rsidR="00D85EE0"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02E2C6E3" w14:textId="77777777" w:rsidR="00D85EE0" w:rsidRPr="00A24080" w:rsidRDefault="00D85EE0" w:rsidP="0028208B">
            <w:pPr>
              <w:jc w:val="both"/>
              <w:rPr>
                <w:bCs/>
                <w:sz w:val="22"/>
                <w:szCs w:val="22"/>
                <w:lang w:val="ro-RO"/>
              </w:rPr>
            </w:pPr>
          </w:p>
        </w:tc>
      </w:tr>
      <w:tr w:rsidR="00D85EE0" w:rsidRPr="00A24080" w14:paraId="0AA0CA33"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71FD899A" w14:textId="77777777" w:rsidTr="003146FA">
              <w:tc>
                <w:tcPr>
                  <w:tcW w:w="1056" w:type="dxa"/>
                </w:tcPr>
                <w:p w14:paraId="19CBCB9A" w14:textId="46D114CD"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vAlign w:val="bottom"/>
                </w:tcPr>
                <w:p w14:paraId="5E17E6DF"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Portofoliul reglementar din care a fost reclasificat instrumentul</w:t>
                  </w:r>
                </w:p>
                <w:p w14:paraId="5600D027"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Se indică una din următoarele două opțiuni:</w:t>
                  </w:r>
                </w:p>
                <w:p w14:paraId="783E4B85" w14:textId="77777777" w:rsidR="00D85EE0" w:rsidRPr="00A24080" w:rsidRDefault="00D85EE0" w:rsidP="0028208B">
                  <w:pPr>
                    <w:pStyle w:val="BodyText"/>
                    <w:framePr w:hSpace="180" w:wrap="around" w:vAnchor="text" w:hAnchor="text" w:x="-612" w:y="1"/>
                    <w:numPr>
                      <w:ilvl w:val="0"/>
                      <w:numId w:val="6"/>
                    </w:numPr>
                    <w:spacing w:before="120" w:after="120" w:line="240" w:lineRule="auto"/>
                    <w:suppressOverlap/>
                    <w:jc w:val="both"/>
                    <w:rPr>
                      <w:rFonts w:ascii="Times New Roman" w:hAnsi="Times New Roman" w:cs="Times New Roman"/>
                      <w:sz w:val="22"/>
                      <w:szCs w:val="22"/>
                    </w:rPr>
                  </w:pPr>
                  <w:r w:rsidRPr="00A24080">
                    <w:rPr>
                      <w:rFonts w:ascii="Times New Roman" w:hAnsi="Times New Roman"/>
                      <w:sz w:val="22"/>
                      <w:szCs w:val="22"/>
                    </w:rPr>
                    <w:t>Portofoliu de tranzacționare</w:t>
                  </w:r>
                  <w:r w:rsidRPr="00A24080">
                    <w:rPr>
                      <w:rFonts w:ascii="Times New Roman" w:hAnsi="Times New Roman"/>
                      <w:sz w:val="22"/>
                      <w:szCs w:val="22"/>
                    </w:rPr>
                    <w:br/>
                    <w:t>Articolul 4 alineatul (1) punctul 86 din Regulamentul (UE) nr. 575/2013</w:t>
                  </w:r>
                </w:p>
                <w:p w14:paraId="3A4E897E" w14:textId="47A23D53" w:rsidR="00D85EE0" w:rsidRPr="00A24080" w:rsidRDefault="00D85EE0" w:rsidP="0028208B">
                  <w:pPr>
                    <w:pStyle w:val="ListParagraph"/>
                    <w:framePr w:hSpace="180" w:wrap="around" w:vAnchor="text" w:hAnchor="text" w:x="-612" w:y="1"/>
                    <w:numPr>
                      <w:ilvl w:val="0"/>
                      <w:numId w:val="6"/>
                    </w:numPr>
                    <w:ind w:right="90"/>
                    <w:suppressOverlap/>
                    <w:jc w:val="both"/>
                    <w:rPr>
                      <w:sz w:val="22"/>
                      <w:szCs w:val="22"/>
                      <w:lang w:val="ro-RO"/>
                    </w:rPr>
                  </w:pPr>
                  <w:r w:rsidRPr="00A24080">
                    <w:rPr>
                      <w:sz w:val="22"/>
                      <w:szCs w:val="22"/>
                      <w:lang w:val="ro-RO"/>
                    </w:rPr>
                    <w:t xml:space="preserve">Portofoliu bancar </w:t>
                  </w:r>
                  <w:r w:rsidRPr="00A24080">
                    <w:rPr>
                      <w:sz w:val="22"/>
                      <w:szCs w:val="22"/>
                      <w:lang w:val="ro-RO"/>
                    </w:rPr>
                    <w:br/>
                    <w:t>Alcătuit din toate pozițiile care nu sunt incluse în portofoliul de tranzacționare.</w:t>
                  </w:r>
                </w:p>
              </w:tc>
            </w:tr>
          </w:tbl>
          <w:p w14:paraId="057CC126"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39E4BA90" w14:textId="77777777" w:rsidTr="003146FA">
              <w:tc>
                <w:tcPr>
                  <w:tcW w:w="1056" w:type="dxa"/>
                </w:tcPr>
                <w:p w14:paraId="33DF4744"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0030</w:t>
                  </w:r>
                </w:p>
              </w:tc>
              <w:tc>
                <w:tcPr>
                  <w:tcW w:w="3861" w:type="dxa"/>
                  <w:vAlign w:val="bottom"/>
                </w:tcPr>
                <w:p w14:paraId="17BDD0C0"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Portofoliul reglementar din care a fost reclasificat instrumentul</w:t>
                  </w:r>
                </w:p>
                <w:p w14:paraId="67FE0F71"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Se indică una din următoarele două opțiuni:</w:t>
                  </w:r>
                </w:p>
                <w:p w14:paraId="18A35D03" w14:textId="0A8D9954" w:rsidR="00D85EE0" w:rsidRPr="00A24080" w:rsidRDefault="00D85EE0" w:rsidP="0028208B">
                  <w:pPr>
                    <w:pStyle w:val="BodyText"/>
                    <w:framePr w:hSpace="180" w:wrap="around" w:vAnchor="text" w:hAnchor="text" w:x="-612" w:y="1"/>
                    <w:numPr>
                      <w:ilvl w:val="0"/>
                      <w:numId w:val="6"/>
                    </w:numPr>
                    <w:spacing w:before="120" w:after="120" w:line="240" w:lineRule="auto"/>
                    <w:suppressOverlap/>
                    <w:jc w:val="both"/>
                    <w:rPr>
                      <w:rFonts w:ascii="Times New Roman" w:hAnsi="Times New Roman" w:cs="Times New Roman"/>
                      <w:sz w:val="22"/>
                      <w:szCs w:val="22"/>
                    </w:rPr>
                  </w:pPr>
                  <w:r w:rsidRPr="00A24080">
                    <w:rPr>
                      <w:rFonts w:ascii="Times New Roman" w:hAnsi="Times New Roman"/>
                      <w:sz w:val="22"/>
                      <w:szCs w:val="22"/>
                    </w:rPr>
                    <w:t>Portofoliu de tranzacționare</w:t>
                  </w:r>
                  <w:r w:rsidRPr="00A24080">
                    <w:rPr>
                      <w:rFonts w:ascii="Times New Roman" w:hAnsi="Times New Roman"/>
                      <w:sz w:val="22"/>
                      <w:szCs w:val="22"/>
                    </w:rPr>
                    <w:br/>
                  </w:r>
                  <w:r w:rsidR="00A55D0A" w:rsidRPr="00A24080">
                    <w:rPr>
                      <w:rFonts w:ascii="Times New Roman" w:hAnsi="Times New Roman"/>
                      <w:sz w:val="22"/>
                      <w:szCs w:val="22"/>
                      <w:lang w:val="ru-RU"/>
                    </w:rPr>
                    <w:t>Subpct.5.12 din Regulamentul nr.XX/2026</w:t>
                  </w:r>
                </w:p>
                <w:p w14:paraId="4E33F256" w14:textId="021174AB" w:rsidR="00D85EE0" w:rsidRPr="00A24080" w:rsidRDefault="00D85EE0" w:rsidP="0028208B">
                  <w:pPr>
                    <w:pStyle w:val="ListParagraph"/>
                    <w:framePr w:hSpace="180" w:wrap="around" w:vAnchor="text" w:hAnchor="text" w:x="-612" w:y="1"/>
                    <w:numPr>
                      <w:ilvl w:val="0"/>
                      <w:numId w:val="6"/>
                    </w:numPr>
                    <w:ind w:right="90"/>
                    <w:suppressOverlap/>
                    <w:jc w:val="both"/>
                    <w:rPr>
                      <w:sz w:val="22"/>
                      <w:szCs w:val="22"/>
                      <w:lang w:val="ro-RO"/>
                    </w:rPr>
                  </w:pPr>
                  <w:r w:rsidRPr="00A24080">
                    <w:rPr>
                      <w:sz w:val="22"/>
                      <w:szCs w:val="22"/>
                      <w:lang w:val="ro-RO"/>
                    </w:rPr>
                    <w:t xml:space="preserve">Portofoliu bancar </w:t>
                  </w:r>
                  <w:r w:rsidRPr="00A24080">
                    <w:rPr>
                      <w:sz w:val="22"/>
                      <w:szCs w:val="22"/>
                      <w:lang w:val="ro-RO"/>
                    </w:rPr>
                    <w:br/>
                    <w:t>Alcătuit din toate pozițiile care nu sunt incluse în portofoliul de tranzacționare.</w:t>
                  </w:r>
                </w:p>
              </w:tc>
            </w:tr>
          </w:tbl>
          <w:p w14:paraId="1E0A71B9" w14:textId="77777777" w:rsidR="00D85EE0" w:rsidRPr="00A24080" w:rsidRDefault="00D85EE0" w:rsidP="0028208B">
            <w:pPr>
              <w:ind w:right="90"/>
              <w:jc w:val="both"/>
              <w:rPr>
                <w:sz w:val="22"/>
                <w:szCs w:val="22"/>
                <w:lang w:val="ro-RO"/>
              </w:rPr>
            </w:pPr>
          </w:p>
        </w:tc>
        <w:tc>
          <w:tcPr>
            <w:tcW w:w="1418" w:type="dxa"/>
          </w:tcPr>
          <w:p w14:paraId="11B9926A" w14:textId="12CA6A7D" w:rsidR="00D85EE0"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7329592" w14:textId="77777777" w:rsidR="00D85EE0" w:rsidRPr="00A24080" w:rsidRDefault="00D85EE0" w:rsidP="0028208B">
            <w:pPr>
              <w:jc w:val="both"/>
              <w:rPr>
                <w:bCs/>
                <w:sz w:val="22"/>
                <w:szCs w:val="22"/>
                <w:lang w:val="ro-RO"/>
              </w:rPr>
            </w:pPr>
          </w:p>
        </w:tc>
      </w:tr>
      <w:tr w:rsidR="00D85EE0" w:rsidRPr="00A24080" w14:paraId="4B485027"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05CDBEBE" w14:textId="77777777" w:rsidTr="003146FA">
              <w:tc>
                <w:tcPr>
                  <w:tcW w:w="1056" w:type="dxa"/>
                </w:tcPr>
                <w:p w14:paraId="2694C931" w14:textId="5BD27C98"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vAlign w:val="bottom"/>
                </w:tcPr>
                <w:p w14:paraId="3502B6F3"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Portofoliul reglementar în care a fost reclasificat instrumentul</w:t>
                  </w:r>
                </w:p>
                <w:p w14:paraId="4431590D"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Se indică una din următoarele două opțiuni:</w:t>
                  </w:r>
                </w:p>
                <w:p w14:paraId="34321A38" w14:textId="77777777" w:rsidR="00D85EE0" w:rsidRPr="00A24080" w:rsidRDefault="00D85EE0" w:rsidP="0028208B">
                  <w:pPr>
                    <w:pStyle w:val="BodyText"/>
                    <w:framePr w:hSpace="180" w:wrap="around" w:vAnchor="text" w:hAnchor="text" w:x="-612" w:y="1"/>
                    <w:numPr>
                      <w:ilvl w:val="0"/>
                      <w:numId w:val="6"/>
                    </w:numPr>
                    <w:spacing w:before="120" w:after="120" w:line="240" w:lineRule="auto"/>
                    <w:suppressOverlap/>
                    <w:jc w:val="both"/>
                    <w:rPr>
                      <w:rFonts w:ascii="Times New Roman" w:hAnsi="Times New Roman" w:cs="Times New Roman"/>
                      <w:sz w:val="22"/>
                      <w:szCs w:val="22"/>
                    </w:rPr>
                  </w:pPr>
                  <w:r w:rsidRPr="00A24080">
                    <w:rPr>
                      <w:rFonts w:ascii="Times New Roman" w:hAnsi="Times New Roman"/>
                      <w:sz w:val="22"/>
                      <w:szCs w:val="22"/>
                    </w:rPr>
                    <w:t>Portofoliu de tranzacționare</w:t>
                  </w:r>
                  <w:r w:rsidRPr="00A24080">
                    <w:rPr>
                      <w:rFonts w:ascii="Times New Roman" w:hAnsi="Times New Roman"/>
                      <w:sz w:val="22"/>
                      <w:szCs w:val="22"/>
                    </w:rPr>
                    <w:br/>
                    <w:t>Articolul 4 alineatul (1) punctul 86 din Regulamentul (UE) nr. 575/2013</w:t>
                  </w:r>
                </w:p>
                <w:p w14:paraId="34F7142C" w14:textId="44C3655B" w:rsidR="00D85EE0" w:rsidRPr="00A24080" w:rsidRDefault="00D85EE0" w:rsidP="0028208B">
                  <w:pPr>
                    <w:pStyle w:val="ListParagraph"/>
                    <w:framePr w:hSpace="180" w:wrap="around" w:vAnchor="text" w:hAnchor="text" w:x="-612" w:y="1"/>
                    <w:numPr>
                      <w:ilvl w:val="0"/>
                      <w:numId w:val="6"/>
                    </w:numPr>
                    <w:ind w:right="90"/>
                    <w:suppressOverlap/>
                    <w:jc w:val="both"/>
                    <w:rPr>
                      <w:sz w:val="22"/>
                      <w:szCs w:val="22"/>
                      <w:lang w:val="ro-RO"/>
                    </w:rPr>
                  </w:pPr>
                  <w:r w:rsidRPr="00A24080">
                    <w:rPr>
                      <w:sz w:val="22"/>
                      <w:szCs w:val="22"/>
                      <w:lang w:val="ro-RO"/>
                    </w:rPr>
                    <w:t>Portofoliu bancar</w:t>
                  </w:r>
                  <w:r w:rsidRPr="00A24080">
                    <w:rPr>
                      <w:sz w:val="22"/>
                      <w:szCs w:val="22"/>
                      <w:lang w:val="ro-RO"/>
                    </w:rPr>
                    <w:br/>
                    <w:t>Alcătuit din toate pozițiile care nu sunt incluse în portofoliul de tranzacționare.</w:t>
                  </w:r>
                </w:p>
              </w:tc>
            </w:tr>
          </w:tbl>
          <w:p w14:paraId="444957CB"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25E49175" w14:textId="77777777" w:rsidTr="003146FA">
              <w:tc>
                <w:tcPr>
                  <w:tcW w:w="1056" w:type="dxa"/>
                </w:tcPr>
                <w:p w14:paraId="16D600AE"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0040</w:t>
                  </w:r>
                </w:p>
              </w:tc>
              <w:tc>
                <w:tcPr>
                  <w:tcW w:w="3861" w:type="dxa"/>
                  <w:vAlign w:val="bottom"/>
                </w:tcPr>
                <w:p w14:paraId="2AE4C8F0"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Portofoliul reglementar în care a fost reclasificat instrumentul</w:t>
                  </w:r>
                </w:p>
                <w:p w14:paraId="25FD5BBB"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Se indică una din următoarele două opțiuni:</w:t>
                  </w:r>
                </w:p>
                <w:p w14:paraId="03B4E5C9" w14:textId="753FD7CC" w:rsidR="00D85EE0" w:rsidRPr="00A24080" w:rsidRDefault="00D85EE0" w:rsidP="0028208B">
                  <w:pPr>
                    <w:pStyle w:val="BodyText"/>
                    <w:framePr w:hSpace="180" w:wrap="around" w:vAnchor="text" w:hAnchor="text" w:x="-612" w:y="1"/>
                    <w:numPr>
                      <w:ilvl w:val="0"/>
                      <w:numId w:val="6"/>
                    </w:numPr>
                    <w:spacing w:before="120" w:after="120" w:line="240" w:lineRule="auto"/>
                    <w:suppressOverlap/>
                    <w:jc w:val="both"/>
                    <w:rPr>
                      <w:rFonts w:ascii="Times New Roman" w:hAnsi="Times New Roman" w:cs="Times New Roman"/>
                      <w:sz w:val="22"/>
                      <w:szCs w:val="22"/>
                    </w:rPr>
                  </w:pPr>
                  <w:r w:rsidRPr="00A24080">
                    <w:rPr>
                      <w:rFonts w:ascii="Times New Roman" w:hAnsi="Times New Roman"/>
                      <w:sz w:val="22"/>
                      <w:szCs w:val="22"/>
                    </w:rPr>
                    <w:t>Portofoliu de tranzacționare</w:t>
                  </w:r>
                  <w:r w:rsidRPr="00A24080">
                    <w:rPr>
                      <w:rFonts w:ascii="Times New Roman" w:hAnsi="Times New Roman"/>
                      <w:sz w:val="22"/>
                      <w:szCs w:val="22"/>
                    </w:rPr>
                    <w:br/>
                  </w:r>
                  <w:r w:rsidR="00A55D0A" w:rsidRPr="00A24080">
                    <w:rPr>
                      <w:rFonts w:ascii="Times New Roman" w:hAnsi="Times New Roman"/>
                      <w:sz w:val="22"/>
                      <w:szCs w:val="22"/>
                      <w:lang w:val="ru-RU"/>
                    </w:rPr>
                    <w:t>Subpct.5.12 din Regulamentul nr.XX/2026</w:t>
                  </w:r>
                </w:p>
                <w:p w14:paraId="4DE0031F" w14:textId="53413C18" w:rsidR="00D85EE0" w:rsidRPr="00A24080" w:rsidRDefault="00D85EE0" w:rsidP="0028208B">
                  <w:pPr>
                    <w:pStyle w:val="ListParagraph"/>
                    <w:framePr w:hSpace="180" w:wrap="around" w:vAnchor="text" w:hAnchor="text" w:x="-612" w:y="1"/>
                    <w:numPr>
                      <w:ilvl w:val="0"/>
                      <w:numId w:val="6"/>
                    </w:numPr>
                    <w:ind w:right="90"/>
                    <w:suppressOverlap/>
                    <w:jc w:val="both"/>
                    <w:rPr>
                      <w:sz w:val="22"/>
                      <w:szCs w:val="22"/>
                      <w:lang w:val="ro-RO"/>
                    </w:rPr>
                  </w:pPr>
                  <w:r w:rsidRPr="00A24080">
                    <w:rPr>
                      <w:sz w:val="22"/>
                      <w:szCs w:val="22"/>
                      <w:lang w:val="ro-RO"/>
                    </w:rPr>
                    <w:t>Portofoliu bancar</w:t>
                  </w:r>
                  <w:r w:rsidRPr="00A24080">
                    <w:rPr>
                      <w:sz w:val="22"/>
                      <w:szCs w:val="22"/>
                      <w:lang w:val="ro-RO"/>
                    </w:rPr>
                    <w:br/>
                    <w:t>Alcătuit din toate pozițiile care nu sunt incluse în portofoliul de tranzacționare.</w:t>
                  </w:r>
                </w:p>
              </w:tc>
            </w:tr>
          </w:tbl>
          <w:p w14:paraId="4CB9E12F" w14:textId="77777777" w:rsidR="00D85EE0" w:rsidRPr="00A24080" w:rsidRDefault="00D85EE0" w:rsidP="0028208B">
            <w:pPr>
              <w:ind w:right="90"/>
              <w:jc w:val="both"/>
              <w:rPr>
                <w:sz w:val="22"/>
                <w:szCs w:val="22"/>
                <w:lang w:val="ro-RO"/>
              </w:rPr>
            </w:pPr>
          </w:p>
        </w:tc>
        <w:tc>
          <w:tcPr>
            <w:tcW w:w="1418" w:type="dxa"/>
          </w:tcPr>
          <w:p w14:paraId="1200AB22" w14:textId="611724E7" w:rsidR="00D85EE0"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3EB1EFC6" w14:textId="77777777" w:rsidR="00D85EE0" w:rsidRPr="00A24080" w:rsidRDefault="00D85EE0" w:rsidP="0028208B">
            <w:pPr>
              <w:jc w:val="both"/>
              <w:rPr>
                <w:bCs/>
                <w:sz w:val="22"/>
                <w:szCs w:val="22"/>
                <w:lang w:val="ro-RO"/>
              </w:rPr>
            </w:pPr>
          </w:p>
        </w:tc>
      </w:tr>
      <w:tr w:rsidR="006766CE" w:rsidRPr="00A24080" w14:paraId="6901178B"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6766CE" w:rsidRPr="00EE7DB0" w14:paraId="5D3A9DC4" w14:textId="77777777" w:rsidTr="003146FA">
              <w:tc>
                <w:tcPr>
                  <w:tcW w:w="1056" w:type="dxa"/>
                </w:tcPr>
                <w:p w14:paraId="444C340F" w14:textId="22AF2508" w:rsidR="006766CE" w:rsidRPr="00A24080" w:rsidRDefault="006766CE" w:rsidP="0028208B">
                  <w:pPr>
                    <w:framePr w:hSpace="180" w:wrap="around" w:vAnchor="text" w:hAnchor="text" w:x="-612" w:y="1"/>
                    <w:ind w:right="90"/>
                    <w:suppressOverlap/>
                    <w:jc w:val="both"/>
                    <w:rPr>
                      <w:sz w:val="22"/>
                      <w:szCs w:val="22"/>
                      <w:lang w:val="ro-RO"/>
                    </w:rPr>
                  </w:pPr>
                  <w:r w:rsidRPr="00A24080">
                    <w:rPr>
                      <w:sz w:val="22"/>
                      <w:szCs w:val="22"/>
                    </w:rPr>
                    <w:lastRenderedPageBreak/>
                    <w:t>0050</w:t>
                  </w:r>
                </w:p>
              </w:tc>
              <w:tc>
                <w:tcPr>
                  <w:tcW w:w="3861" w:type="dxa"/>
                  <w:vAlign w:val="bottom"/>
                </w:tcPr>
                <w:p w14:paraId="342C7834" w14:textId="77777777" w:rsidR="006766CE" w:rsidRPr="00A24080" w:rsidRDefault="006766CE"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Motivul reclasificării</w:t>
                  </w:r>
                </w:p>
                <w:p w14:paraId="3A7608C1" w14:textId="290C23A1" w:rsidR="006766CE" w:rsidRPr="00A24080" w:rsidRDefault="006766CE" w:rsidP="0028208B">
                  <w:pPr>
                    <w:framePr w:hSpace="180" w:wrap="around" w:vAnchor="text" w:hAnchor="text" w:x="-612" w:y="1"/>
                    <w:ind w:right="90"/>
                    <w:suppressOverlap/>
                    <w:jc w:val="both"/>
                    <w:rPr>
                      <w:sz w:val="22"/>
                      <w:szCs w:val="22"/>
                      <w:lang w:val="ro-RO"/>
                    </w:rPr>
                  </w:pPr>
                  <w:r w:rsidRPr="00A24080">
                    <w:rPr>
                      <w:sz w:val="22"/>
                      <w:szCs w:val="22"/>
                      <w:lang w:val="ro-RO"/>
                    </w:rPr>
                    <w:t>Se explică circumstanțele excepționale care conduc la reclasificarea poziției din portofoliul reglementar în afara lui sau invers. Explicația furnizată în această celulă trebuie să fie suficient de detaliată pentru a justifica motivul pentru care reclasificarea este considerată o circumstanță excepțională.</w:t>
                  </w:r>
                </w:p>
              </w:tc>
            </w:tr>
          </w:tbl>
          <w:p w14:paraId="7BAE1CE8" w14:textId="77777777" w:rsidR="006766CE" w:rsidRPr="00A24080" w:rsidRDefault="006766CE"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68BA85CE" w14:textId="77777777" w:rsidTr="003146FA">
              <w:tc>
                <w:tcPr>
                  <w:tcW w:w="1056" w:type="dxa"/>
                </w:tcPr>
                <w:p w14:paraId="016C2686"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0050</w:t>
                  </w:r>
                </w:p>
              </w:tc>
              <w:tc>
                <w:tcPr>
                  <w:tcW w:w="3861" w:type="dxa"/>
                  <w:vAlign w:val="bottom"/>
                </w:tcPr>
                <w:p w14:paraId="2D0E8DEA"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Motivul reclasificării</w:t>
                  </w:r>
                </w:p>
                <w:p w14:paraId="22671C6F"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Se explică circumstanțele excepționale care conduc la reclasificarea poziției din portofoliul reglementar în afara lui sau invers. Explicația furnizată în această celulă trebuie să fie suficient de detaliată pentru a justifica motivul pentru care reclasificarea este considerată o circumstanță excepțională.</w:t>
                  </w:r>
                </w:p>
              </w:tc>
            </w:tr>
          </w:tbl>
          <w:p w14:paraId="6197FC2C" w14:textId="77777777" w:rsidR="006766CE" w:rsidRPr="00A24080" w:rsidRDefault="006766CE" w:rsidP="0028208B">
            <w:pPr>
              <w:ind w:right="90"/>
              <w:jc w:val="both"/>
              <w:rPr>
                <w:sz w:val="22"/>
                <w:szCs w:val="22"/>
                <w:lang w:val="ro-RO"/>
              </w:rPr>
            </w:pPr>
          </w:p>
        </w:tc>
        <w:tc>
          <w:tcPr>
            <w:tcW w:w="1418" w:type="dxa"/>
          </w:tcPr>
          <w:p w14:paraId="1EB2029F" w14:textId="566694A8"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2E1B510C" w14:textId="77777777" w:rsidR="006766CE" w:rsidRPr="00A24080" w:rsidRDefault="006766CE" w:rsidP="0028208B">
            <w:pPr>
              <w:jc w:val="both"/>
              <w:rPr>
                <w:bCs/>
                <w:sz w:val="22"/>
                <w:szCs w:val="22"/>
                <w:lang w:val="ro-RO"/>
              </w:rPr>
            </w:pPr>
          </w:p>
        </w:tc>
      </w:tr>
      <w:tr w:rsidR="00D85EE0" w:rsidRPr="00A24080" w14:paraId="0638998D"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07F19592" w14:textId="77777777" w:rsidTr="003146FA">
              <w:tc>
                <w:tcPr>
                  <w:tcW w:w="1056" w:type="dxa"/>
                </w:tcPr>
                <w:p w14:paraId="2CC35740" w14:textId="2772B3E6"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vAlign w:val="bottom"/>
                </w:tcPr>
                <w:p w14:paraId="766C528C"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Aprobarea prealabilă (statut)</w:t>
                  </w:r>
                </w:p>
                <w:p w14:paraId="34A7B674"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Articolul 104a alineatele (2) și (6) din Regulamentul (UE) nr. 575/2013</w:t>
                  </w:r>
                </w:p>
                <w:p w14:paraId="5CF6ED11" w14:textId="210F41B5"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În cazul în care nu este necesară aprobarea prealabilă a autorității competente, în conformitate cu articolul 104a alineatul (6) din Regulamentul (UE) nr. 575/2013, instituțiile înscriu în această coloană mențiunea «Nu este necesară aprobarea prealabilă». În cazul în care este necesară aprobarea prealabilă și ea a fost obținută, se înscrie mențiunea «Aprobare prealabilă obținută».</w:t>
                  </w:r>
                </w:p>
              </w:tc>
            </w:tr>
          </w:tbl>
          <w:p w14:paraId="1AB1CD83"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3F4266A2" w14:textId="77777777" w:rsidTr="003146FA">
              <w:tc>
                <w:tcPr>
                  <w:tcW w:w="1056" w:type="dxa"/>
                </w:tcPr>
                <w:p w14:paraId="1B81E72A"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0060</w:t>
                  </w:r>
                </w:p>
              </w:tc>
              <w:tc>
                <w:tcPr>
                  <w:tcW w:w="3861" w:type="dxa"/>
                  <w:vAlign w:val="bottom"/>
                </w:tcPr>
                <w:p w14:paraId="618DF379"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Aprobarea prealabilă (statut)</w:t>
                  </w:r>
                </w:p>
                <w:p w14:paraId="1DC25229" w14:textId="2D46945D" w:rsidR="00D85EE0" w:rsidRPr="00A24080" w:rsidRDefault="00AA3FE6"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Pct.26, 27 și 31 din Regulamentul nr.XX/2026</w:t>
                  </w:r>
                </w:p>
                <w:p w14:paraId="42D6A345" w14:textId="1B2D9E6D"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nu este necesară aprobarea prealabilă a </w:t>
                  </w:r>
                  <w:r w:rsidR="00AA3FE6" w:rsidRPr="00A24080">
                    <w:rPr>
                      <w:sz w:val="22"/>
                      <w:szCs w:val="22"/>
                      <w:lang w:val="ro-RO"/>
                    </w:rPr>
                    <w:t>BNM</w:t>
                  </w:r>
                  <w:r w:rsidRPr="00A24080">
                    <w:rPr>
                      <w:sz w:val="22"/>
                      <w:szCs w:val="22"/>
                      <w:lang w:val="ro-RO"/>
                    </w:rPr>
                    <w:t xml:space="preserve">, în conformitate cu </w:t>
                  </w:r>
                  <w:r w:rsidR="00AA3FE6" w:rsidRPr="00A24080">
                    <w:rPr>
                      <w:sz w:val="22"/>
                      <w:szCs w:val="22"/>
                      <w:lang w:val="ro-RO"/>
                    </w:rPr>
                    <w:t>pct.31 din Regulamentul nr.XX/2026</w:t>
                  </w:r>
                  <w:r w:rsidRPr="00A24080">
                    <w:rPr>
                      <w:sz w:val="22"/>
                      <w:szCs w:val="22"/>
                      <w:lang w:val="ro-RO"/>
                    </w:rPr>
                    <w:t xml:space="preserve">, </w:t>
                  </w:r>
                  <w:r w:rsidR="00F466E1" w:rsidRPr="00A24080">
                    <w:rPr>
                      <w:sz w:val="22"/>
                      <w:szCs w:val="22"/>
                      <w:lang w:val="ro-RO"/>
                    </w:rPr>
                    <w:t xml:space="preserve">băncile </w:t>
                  </w:r>
                  <w:r w:rsidRPr="00A24080">
                    <w:rPr>
                      <w:sz w:val="22"/>
                      <w:szCs w:val="22"/>
                      <w:lang w:val="ro-RO"/>
                    </w:rPr>
                    <w:t>înscriu în această coloană mențiunea «Nu este necesară aprobarea prealabilă». În cazul în care este necesară aprobarea prealabilă și ea a fost obținută, se înscrie mențiunea «Aprobare prealabilă obținută».</w:t>
                  </w:r>
                </w:p>
              </w:tc>
            </w:tr>
          </w:tbl>
          <w:p w14:paraId="3225E585" w14:textId="77777777" w:rsidR="00D85EE0" w:rsidRPr="00A24080" w:rsidRDefault="00D85EE0" w:rsidP="0028208B">
            <w:pPr>
              <w:ind w:right="90"/>
              <w:jc w:val="both"/>
              <w:rPr>
                <w:sz w:val="22"/>
                <w:szCs w:val="22"/>
                <w:lang w:val="ro-RO"/>
              </w:rPr>
            </w:pPr>
          </w:p>
        </w:tc>
        <w:tc>
          <w:tcPr>
            <w:tcW w:w="1418" w:type="dxa"/>
          </w:tcPr>
          <w:p w14:paraId="72E2EB5E" w14:textId="59F8CB50" w:rsidR="00D85EE0"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066C5D01" w14:textId="77777777" w:rsidR="00D85EE0" w:rsidRPr="00A24080" w:rsidRDefault="00D85EE0" w:rsidP="0028208B">
            <w:pPr>
              <w:jc w:val="both"/>
              <w:rPr>
                <w:bCs/>
                <w:sz w:val="22"/>
                <w:szCs w:val="22"/>
                <w:lang w:val="ro-RO"/>
              </w:rPr>
            </w:pPr>
          </w:p>
        </w:tc>
      </w:tr>
      <w:tr w:rsidR="00D85EE0" w:rsidRPr="00A24080" w14:paraId="6651859E"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A24080" w14:paraId="6A2623B5" w14:textId="77777777" w:rsidTr="003146FA">
              <w:tc>
                <w:tcPr>
                  <w:tcW w:w="1056" w:type="dxa"/>
                </w:tcPr>
                <w:p w14:paraId="5A03C732" w14:textId="595FC78F"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vAlign w:val="bottom"/>
                </w:tcPr>
                <w:p w14:paraId="4A77B149"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Data reclasificării</w:t>
                  </w:r>
                </w:p>
                <w:p w14:paraId="5DFDBC1A" w14:textId="6CD90C6B"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Articolul 104a alineatele (2) și (6) din Regulamentul (UE) nr. 575/2013</w:t>
                  </w:r>
                </w:p>
              </w:tc>
            </w:tr>
          </w:tbl>
          <w:p w14:paraId="6D1B89E4"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A24080" w14:paraId="3DAB2DD5" w14:textId="77777777" w:rsidTr="003146FA">
              <w:tc>
                <w:tcPr>
                  <w:tcW w:w="1056" w:type="dxa"/>
                </w:tcPr>
                <w:p w14:paraId="71682326"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0070</w:t>
                  </w:r>
                </w:p>
              </w:tc>
              <w:tc>
                <w:tcPr>
                  <w:tcW w:w="3861" w:type="dxa"/>
                  <w:vAlign w:val="bottom"/>
                </w:tcPr>
                <w:p w14:paraId="431961E4"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Data reclasificării</w:t>
                  </w:r>
                </w:p>
                <w:p w14:paraId="3FCD2FAF" w14:textId="4023779E" w:rsidR="00D85EE0" w:rsidRPr="00A24080" w:rsidRDefault="00AA3FE6" w:rsidP="0028208B">
                  <w:pPr>
                    <w:framePr w:hSpace="180" w:wrap="around" w:vAnchor="text" w:hAnchor="text" w:x="-612" w:y="1"/>
                    <w:ind w:right="90"/>
                    <w:suppressOverlap/>
                    <w:jc w:val="both"/>
                    <w:rPr>
                      <w:sz w:val="22"/>
                      <w:szCs w:val="22"/>
                      <w:lang w:val="ro-RO"/>
                    </w:rPr>
                  </w:pPr>
                  <w:r w:rsidRPr="00A24080">
                    <w:rPr>
                      <w:sz w:val="22"/>
                      <w:szCs w:val="22"/>
                    </w:rPr>
                    <w:t>Pct.26, 27 și 31 din Regulamentul nr.XX/2026</w:t>
                  </w:r>
                </w:p>
              </w:tc>
            </w:tr>
          </w:tbl>
          <w:p w14:paraId="5485DC06" w14:textId="77777777" w:rsidR="00D85EE0" w:rsidRPr="00A24080" w:rsidRDefault="00D85EE0" w:rsidP="0028208B">
            <w:pPr>
              <w:ind w:right="90"/>
              <w:jc w:val="both"/>
              <w:rPr>
                <w:sz w:val="22"/>
                <w:szCs w:val="22"/>
                <w:lang w:val="ro-RO"/>
              </w:rPr>
            </w:pPr>
          </w:p>
        </w:tc>
        <w:tc>
          <w:tcPr>
            <w:tcW w:w="1418" w:type="dxa"/>
          </w:tcPr>
          <w:p w14:paraId="2E56B71C" w14:textId="09BB2B9E" w:rsidR="00D85EE0"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FBB7A59" w14:textId="77777777" w:rsidR="00D85EE0" w:rsidRPr="00A24080" w:rsidRDefault="00D85EE0" w:rsidP="0028208B">
            <w:pPr>
              <w:jc w:val="both"/>
              <w:rPr>
                <w:bCs/>
                <w:sz w:val="22"/>
                <w:szCs w:val="22"/>
                <w:lang w:val="ro-RO"/>
              </w:rPr>
            </w:pPr>
          </w:p>
        </w:tc>
      </w:tr>
      <w:tr w:rsidR="00D85EE0" w:rsidRPr="00A24080" w14:paraId="06F4EA5A"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0E159E22" w14:textId="77777777" w:rsidTr="003146FA">
              <w:tc>
                <w:tcPr>
                  <w:tcW w:w="1056" w:type="dxa"/>
                </w:tcPr>
                <w:p w14:paraId="5434D708" w14:textId="4C5E28F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0080</w:t>
                  </w:r>
                </w:p>
              </w:tc>
              <w:tc>
                <w:tcPr>
                  <w:tcW w:w="3861" w:type="dxa"/>
                  <w:vAlign w:val="bottom"/>
                </w:tcPr>
                <w:p w14:paraId="535656B2"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Creștere (+) sau reducere (-) netă a cerințelor de fonduri proprii care rezultă din reclasificare</w:t>
                  </w:r>
                </w:p>
                <w:p w14:paraId="3248CD6C"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lastRenderedPageBreak/>
                    <w:t>Variația netă a cuantumului cerințelor de fonduri proprii care rezultă din reclasificarea poziției, calculată în conformitate cu articolul 104a alineatul (4) din Regulamentul (UE) nr. 575/2013</w:t>
                  </w:r>
                </w:p>
                <w:p w14:paraId="0A2A268D" w14:textId="2DFD6B26"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Creșterea cerințelor de fonduri proprii rezultată din reclasificare se raportează cu semnul pozitiv (+), iar reducerea cerințelor de fonduri proprii se raportează cu semnul negativ (-).</w:t>
                  </w:r>
                </w:p>
              </w:tc>
            </w:tr>
          </w:tbl>
          <w:p w14:paraId="0E5A8CC6"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7D583E2F" w14:textId="77777777" w:rsidTr="003146FA">
              <w:tc>
                <w:tcPr>
                  <w:tcW w:w="1056" w:type="dxa"/>
                </w:tcPr>
                <w:p w14:paraId="46504CFF"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lastRenderedPageBreak/>
                    <w:t>0080</w:t>
                  </w:r>
                </w:p>
              </w:tc>
              <w:tc>
                <w:tcPr>
                  <w:tcW w:w="3861" w:type="dxa"/>
                  <w:vAlign w:val="bottom"/>
                </w:tcPr>
                <w:p w14:paraId="11A69C4B"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Creștere (+) sau reducere (-) netă a cerințelor de fonduri proprii care rezultă din reclasificare</w:t>
                  </w:r>
                </w:p>
                <w:p w14:paraId="3FC6B1ED" w14:textId="2BB0AED5"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lastRenderedPageBreak/>
                    <w:t xml:space="preserve">Variația netă a cuantumului cerințelor de fonduri proprii care rezultă din reclasificarea poziției, calculată în conformitate cu </w:t>
                  </w:r>
                  <w:r w:rsidR="00AA3FE6" w:rsidRPr="00A24080">
                    <w:rPr>
                      <w:rFonts w:ascii="Times New Roman" w:hAnsi="Times New Roman"/>
                      <w:sz w:val="22"/>
                      <w:szCs w:val="22"/>
                    </w:rPr>
                    <w:t>pct.29 din Regulamentul nr.XX/2026</w:t>
                  </w:r>
                </w:p>
                <w:p w14:paraId="44A4B248"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Creșterea cerințelor de fonduri proprii rezultată din reclasificare se raportează cu semnul pozitiv (+), iar reducerea cerințelor de fonduri proprii se raportează cu semnul negativ (-).</w:t>
                  </w:r>
                </w:p>
              </w:tc>
            </w:tr>
          </w:tbl>
          <w:p w14:paraId="42D74958" w14:textId="77777777" w:rsidR="00D85EE0" w:rsidRPr="00A24080" w:rsidRDefault="00D85EE0" w:rsidP="0028208B">
            <w:pPr>
              <w:ind w:right="90"/>
              <w:jc w:val="both"/>
              <w:rPr>
                <w:sz w:val="22"/>
                <w:szCs w:val="22"/>
                <w:lang w:val="ro-RO"/>
              </w:rPr>
            </w:pPr>
          </w:p>
        </w:tc>
        <w:tc>
          <w:tcPr>
            <w:tcW w:w="1418" w:type="dxa"/>
          </w:tcPr>
          <w:p w14:paraId="58257E66" w14:textId="38F905E9" w:rsidR="00D85EE0"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316EE932" w14:textId="77777777" w:rsidR="00D85EE0" w:rsidRPr="00A24080" w:rsidRDefault="00D85EE0" w:rsidP="0028208B">
            <w:pPr>
              <w:jc w:val="both"/>
              <w:rPr>
                <w:bCs/>
                <w:sz w:val="22"/>
                <w:szCs w:val="22"/>
                <w:lang w:val="ro-RO"/>
              </w:rPr>
            </w:pPr>
          </w:p>
        </w:tc>
      </w:tr>
      <w:tr w:rsidR="00D85EE0" w:rsidRPr="00A24080" w14:paraId="01FA73A9"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380F24BA" w14:textId="77777777" w:rsidTr="003146FA">
              <w:tc>
                <w:tcPr>
                  <w:tcW w:w="1056" w:type="dxa"/>
                </w:tcPr>
                <w:p w14:paraId="6E602696" w14:textId="62889029"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0090</w:t>
                  </w:r>
                </w:p>
              </w:tc>
              <w:tc>
                <w:tcPr>
                  <w:tcW w:w="3861" w:type="dxa"/>
                  <w:vAlign w:val="bottom"/>
                </w:tcPr>
                <w:p w14:paraId="2C0F521B"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Majorare a cerințelor de fonduri proprii ca urmare a reclasificării </w:t>
                  </w:r>
                </w:p>
                <w:p w14:paraId="62CDAE26"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Dacă variația netă a cuantumului cerințelor de fonduri proprii care rezultă din reclasificarea poziției, calculată în conformitate cu articolul 104a alineatul (4) din Regulamentul (UE) nr. 575/2013, reprezintă o reducere a cerințelor de fonduri proprii ale instituției, iar autoritatea competentă nu a permis recunoașterea reducerii respective în conformitate cu articolul 104a alineatul (3) litera (b) din Regulamentul (UE) nr. 575/2013, cuantumul reducerii se raportează cu semn pozitiv. Cuantumul reprezintă, în consecință, majorarea cerințelor de fonduri proprii pentru reclasificarea în cauză.</w:t>
                  </w:r>
                </w:p>
                <w:p w14:paraId="79B53715" w14:textId="079EC791"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autoritatea competentă a permis recunoașterea reducerii cerințelor de fonduri proprii în </w:t>
                  </w:r>
                  <w:r w:rsidRPr="00A24080">
                    <w:rPr>
                      <w:sz w:val="22"/>
                      <w:szCs w:val="22"/>
                      <w:lang w:val="ro-RO"/>
                    </w:rPr>
                    <w:lastRenderedPageBreak/>
                    <w:t>conformitate cu articolul 104a alineatul (3) litera (b) din Regulamentul (UE) nr. 575/2013, această coloană se lasă necompletată.</w:t>
                  </w:r>
                </w:p>
              </w:tc>
            </w:tr>
          </w:tbl>
          <w:p w14:paraId="042DD73B" w14:textId="77777777" w:rsidR="00D85EE0" w:rsidRPr="00A24080" w:rsidRDefault="00D85EE0"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5AB89905" w14:textId="77777777" w:rsidTr="003146FA">
              <w:tc>
                <w:tcPr>
                  <w:tcW w:w="1056" w:type="dxa"/>
                </w:tcPr>
                <w:p w14:paraId="3D567C99"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lastRenderedPageBreak/>
                    <w:t>0090</w:t>
                  </w:r>
                </w:p>
              </w:tc>
              <w:tc>
                <w:tcPr>
                  <w:tcW w:w="3861" w:type="dxa"/>
                  <w:vAlign w:val="bottom"/>
                </w:tcPr>
                <w:p w14:paraId="39F6C63C"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Majorare a cerințelor de fonduri proprii ca urmare a reclasificării </w:t>
                  </w:r>
                </w:p>
                <w:p w14:paraId="4B1FBEAB" w14:textId="532F88EE"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 xml:space="preserve">Dacă variația netă a cuantumului cerințelor de fonduri proprii care rezultă din reclasificarea poziției, calculată în conformitate cu </w:t>
                  </w:r>
                  <w:r w:rsidR="00AA3FE6" w:rsidRPr="00A24080">
                    <w:rPr>
                      <w:rFonts w:ascii="Times New Roman" w:hAnsi="Times New Roman"/>
                      <w:sz w:val="22"/>
                      <w:szCs w:val="22"/>
                    </w:rPr>
                    <w:t>pct.29 din Regulamentul nr.XX/2026</w:t>
                  </w:r>
                  <w:r w:rsidRPr="00A24080">
                    <w:rPr>
                      <w:rFonts w:ascii="Times New Roman" w:hAnsi="Times New Roman"/>
                      <w:sz w:val="22"/>
                      <w:szCs w:val="22"/>
                    </w:rPr>
                    <w:t xml:space="preserve">, reprezintă o reducere a cerințelor de fonduri proprii ale </w:t>
                  </w:r>
                  <w:r w:rsidR="00F466E1" w:rsidRPr="00A24080">
                    <w:rPr>
                      <w:rFonts w:ascii="Times New Roman" w:hAnsi="Times New Roman"/>
                      <w:sz w:val="22"/>
                      <w:szCs w:val="22"/>
                    </w:rPr>
                    <w:t>băncii</w:t>
                  </w:r>
                  <w:r w:rsidRPr="00A24080">
                    <w:rPr>
                      <w:rFonts w:ascii="Times New Roman" w:hAnsi="Times New Roman"/>
                      <w:sz w:val="22"/>
                      <w:szCs w:val="22"/>
                    </w:rPr>
                    <w:t xml:space="preserve">, iar </w:t>
                  </w:r>
                  <w:r w:rsidR="004A44BC" w:rsidRPr="00A24080">
                    <w:rPr>
                      <w:rFonts w:ascii="Times New Roman" w:hAnsi="Times New Roman"/>
                      <w:sz w:val="22"/>
                      <w:szCs w:val="22"/>
                    </w:rPr>
                    <w:t>BNM</w:t>
                  </w:r>
                  <w:r w:rsidRPr="00A24080">
                    <w:rPr>
                      <w:rFonts w:ascii="Times New Roman" w:hAnsi="Times New Roman"/>
                      <w:sz w:val="22"/>
                      <w:szCs w:val="22"/>
                    </w:rPr>
                    <w:t xml:space="preserve"> nu a permis recunoașterea reducerii respective în conformitate cu </w:t>
                  </w:r>
                  <w:r w:rsidR="00AA3FE6" w:rsidRPr="00A24080">
                    <w:rPr>
                      <w:rFonts w:ascii="Times New Roman" w:hAnsi="Times New Roman"/>
                      <w:sz w:val="22"/>
                      <w:szCs w:val="22"/>
                    </w:rPr>
                    <w:t>subpct.28.2 din Regulamentul nr.XX/2026</w:t>
                  </w:r>
                  <w:r w:rsidRPr="00A24080">
                    <w:rPr>
                      <w:rFonts w:ascii="Times New Roman" w:hAnsi="Times New Roman"/>
                      <w:sz w:val="22"/>
                      <w:szCs w:val="22"/>
                    </w:rPr>
                    <w:t>, cuantumul reducerii se raportează cu semn pozitiv. Cuantumul reprezintă, în consecință, majorarea cerințelor de fonduri proprii pentru reclasificarea în cauză.</w:t>
                  </w:r>
                </w:p>
                <w:p w14:paraId="1BE27BEB" w14:textId="0D9A2834"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w:t>
                  </w:r>
                  <w:r w:rsidR="004A44BC" w:rsidRPr="00A24080">
                    <w:rPr>
                      <w:sz w:val="22"/>
                      <w:szCs w:val="22"/>
                      <w:lang w:val="ro-RO"/>
                    </w:rPr>
                    <w:t>BNM</w:t>
                  </w:r>
                  <w:r w:rsidRPr="00A24080">
                    <w:rPr>
                      <w:sz w:val="22"/>
                      <w:szCs w:val="22"/>
                      <w:lang w:val="ro-RO"/>
                    </w:rPr>
                    <w:t xml:space="preserve"> a permis recunoașterea reducerii cerințelor de fonduri proprii în conformitate cu </w:t>
                  </w:r>
                  <w:r w:rsidR="00AA3FE6" w:rsidRPr="00A24080">
                    <w:rPr>
                      <w:sz w:val="22"/>
                      <w:szCs w:val="22"/>
                      <w:lang w:val="ro-RO"/>
                    </w:rPr>
                    <w:t xml:space="preserve">subpct.28.2 din Regulamentul </w:t>
                  </w:r>
                  <w:r w:rsidR="00AA3FE6" w:rsidRPr="00A24080">
                    <w:rPr>
                      <w:sz w:val="22"/>
                      <w:szCs w:val="22"/>
                      <w:lang w:val="ro-RO"/>
                    </w:rPr>
                    <w:lastRenderedPageBreak/>
                    <w:t>nr.XX/2026</w:t>
                  </w:r>
                  <w:r w:rsidRPr="00A24080">
                    <w:rPr>
                      <w:sz w:val="22"/>
                      <w:szCs w:val="22"/>
                      <w:lang w:val="ro-RO"/>
                    </w:rPr>
                    <w:t>, această coloană se lasă necompletată.</w:t>
                  </w:r>
                </w:p>
              </w:tc>
            </w:tr>
          </w:tbl>
          <w:p w14:paraId="6DA6A6E2" w14:textId="77777777" w:rsidR="00D85EE0" w:rsidRPr="00A24080" w:rsidRDefault="00D85EE0" w:rsidP="0028208B">
            <w:pPr>
              <w:ind w:right="90"/>
              <w:jc w:val="both"/>
              <w:rPr>
                <w:sz w:val="22"/>
                <w:szCs w:val="22"/>
                <w:lang w:val="ro-RO"/>
              </w:rPr>
            </w:pPr>
          </w:p>
        </w:tc>
        <w:tc>
          <w:tcPr>
            <w:tcW w:w="1418" w:type="dxa"/>
          </w:tcPr>
          <w:p w14:paraId="2D5D0BA3" w14:textId="50AD3D06" w:rsidR="00D85EE0" w:rsidRPr="00A24080" w:rsidRDefault="005D4484" w:rsidP="0028208B">
            <w:pPr>
              <w:jc w:val="both"/>
              <w:rPr>
                <w:sz w:val="22"/>
                <w:szCs w:val="22"/>
                <w:lang w:val="ro-RO"/>
              </w:rPr>
            </w:pPr>
            <w:r w:rsidRPr="00A24080">
              <w:rPr>
                <w:sz w:val="22"/>
                <w:szCs w:val="22"/>
                <w:lang w:val="ro-RO"/>
              </w:rPr>
              <w:lastRenderedPageBreak/>
              <w:t>compatibil</w:t>
            </w:r>
          </w:p>
        </w:tc>
        <w:tc>
          <w:tcPr>
            <w:tcW w:w="3544" w:type="dxa"/>
            <w:tcBorders>
              <w:top w:val="single" w:sz="4" w:space="0" w:color="auto"/>
              <w:bottom w:val="single" w:sz="4" w:space="0" w:color="auto"/>
            </w:tcBorders>
          </w:tcPr>
          <w:p w14:paraId="65943678" w14:textId="77777777" w:rsidR="00D85EE0" w:rsidRPr="00A24080" w:rsidRDefault="00D85EE0" w:rsidP="0028208B">
            <w:pPr>
              <w:jc w:val="both"/>
              <w:rPr>
                <w:bCs/>
                <w:sz w:val="22"/>
                <w:szCs w:val="22"/>
                <w:lang w:val="ro-RO"/>
              </w:rPr>
            </w:pPr>
          </w:p>
        </w:tc>
      </w:tr>
      <w:tr w:rsidR="006766CE" w:rsidRPr="00A24080" w14:paraId="3B3E40D2"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6574FC31" w14:textId="77777777" w:rsidTr="003146FA">
              <w:tc>
                <w:tcPr>
                  <w:tcW w:w="1056" w:type="dxa"/>
                </w:tcPr>
                <w:p w14:paraId="3800D667" w14:textId="54B1EDCC"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vAlign w:val="bottom"/>
                </w:tcPr>
                <w:p w14:paraId="48FC7C08"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Data scadenței sau a derecunoașterii avute în vedere a instrumentului</w:t>
                  </w:r>
                </w:p>
                <w:p w14:paraId="192F1F57"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 xml:space="preserve">În cazul în care nu se prevede derecunoașterea, se raportează scadența instrumentului. </w:t>
                  </w:r>
                </w:p>
                <w:p w14:paraId="3FD21DAE"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În cazul în care se are în vedere derecunoașterea instrumentului înainte de scadență, se raportează data respectivei derecunoașteri avute în vedere.</w:t>
                  </w:r>
                </w:p>
                <w:p w14:paraId="7AC96437"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În cazul în care se cunosc numai luna și anul scadenței sau al derecunoașterii, se raportează ca dată a scadenței sau a derecunoașterii avute în vedere a instrumentului ultima zi a lunii. În cazul în care se cunoaște numai anul derecunoașterii, se raportează ca dată a scadenței sau a derecunoașterii avute în vedere data de 31 decembrie a anului respectiv.</w:t>
                  </w:r>
                </w:p>
                <w:p w14:paraId="132DF74D" w14:textId="1B16812D"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nu se poate determina sau nu se cunoaște data scadenței sau a derecunoașterii avute în vedere a instrumentului, în această coloană se înscrie data de 31 decembrie 9999. </w:t>
                  </w:r>
                </w:p>
              </w:tc>
            </w:tr>
          </w:tbl>
          <w:p w14:paraId="65F1ED17" w14:textId="77777777" w:rsidR="006766CE" w:rsidRPr="00A24080" w:rsidRDefault="006766CE"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6E031A44" w14:textId="77777777" w:rsidTr="003146FA">
              <w:tc>
                <w:tcPr>
                  <w:tcW w:w="1056" w:type="dxa"/>
                </w:tcPr>
                <w:p w14:paraId="14FEE608"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0100</w:t>
                  </w:r>
                </w:p>
              </w:tc>
              <w:tc>
                <w:tcPr>
                  <w:tcW w:w="3861" w:type="dxa"/>
                  <w:vAlign w:val="bottom"/>
                </w:tcPr>
                <w:p w14:paraId="11CB731D"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Data scadenței sau a derecunoașterii avute în vedere a instrumentului</w:t>
                  </w:r>
                </w:p>
                <w:p w14:paraId="450BC779"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 xml:space="preserve">În cazul în care nu se prevede derecunoașterea, se raportează scadența instrumentului. </w:t>
                  </w:r>
                </w:p>
                <w:p w14:paraId="6FF03FAD"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În cazul în care se are în vedere derecunoașterea instrumentului înainte de scadență, se raportează data respectivei derecunoașteri avute în vedere.</w:t>
                  </w:r>
                </w:p>
                <w:p w14:paraId="6EC7BE11"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În cazul în care se cunosc numai luna și anul scadenței sau al derecunoașterii, se raportează ca dată a scadenței sau a derecunoașterii avute în vedere a instrumentului ultima zi a lunii. În cazul în care se cunoaște numai anul derecunoașterii, se raportează ca dată a scadenței sau a derecunoașterii avute în vedere data de 31 decembrie a anului respectiv.</w:t>
                  </w:r>
                </w:p>
                <w:p w14:paraId="7FD37381"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nu se poate determina sau nu se cunoaște data scadenței sau a derecunoașterii avute în vedere a instrumentului, în această coloană se înscrie data de 31 decembrie 9999. </w:t>
                  </w:r>
                </w:p>
              </w:tc>
            </w:tr>
          </w:tbl>
          <w:p w14:paraId="0D2186EA" w14:textId="77777777" w:rsidR="006766CE" w:rsidRPr="00A24080" w:rsidRDefault="006766CE" w:rsidP="0028208B">
            <w:pPr>
              <w:ind w:right="90"/>
              <w:jc w:val="both"/>
              <w:rPr>
                <w:sz w:val="22"/>
                <w:szCs w:val="22"/>
                <w:lang w:val="ro-RO"/>
              </w:rPr>
            </w:pPr>
          </w:p>
        </w:tc>
        <w:tc>
          <w:tcPr>
            <w:tcW w:w="1418" w:type="dxa"/>
          </w:tcPr>
          <w:p w14:paraId="5A4186A3" w14:textId="7BC672B7"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1ED70DEF" w14:textId="77777777" w:rsidR="006766CE" w:rsidRPr="00A24080" w:rsidRDefault="006766CE" w:rsidP="0028208B">
            <w:pPr>
              <w:jc w:val="both"/>
              <w:rPr>
                <w:bCs/>
                <w:sz w:val="22"/>
                <w:szCs w:val="22"/>
                <w:lang w:val="ro-RO"/>
              </w:rPr>
            </w:pPr>
          </w:p>
        </w:tc>
      </w:tr>
      <w:tr w:rsidR="006766CE" w:rsidRPr="00A24080" w14:paraId="7438E7EC" w14:textId="77777777" w:rsidTr="0028208B">
        <w:tc>
          <w:tcPr>
            <w:tcW w:w="514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034097FD" w14:textId="77777777" w:rsidTr="003146FA">
              <w:tc>
                <w:tcPr>
                  <w:tcW w:w="1056" w:type="dxa"/>
                </w:tcPr>
                <w:p w14:paraId="53FBDEFB" w14:textId="6091B4AD"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lastRenderedPageBreak/>
                    <w:t>0110</w:t>
                  </w:r>
                </w:p>
              </w:tc>
              <w:tc>
                <w:tcPr>
                  <w:tcW w:w="3861" w:type="dxa"/>
                  <w:vAlign w:val="bottom"/>
                </w:tcPr>
                <w:p w14:paraId="50CD27C4"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Data de la care autoritatea competentă permite recunoașterea reducerii cerințelor de fonduri proprii</w:t>
                  </w:r>
                </w:p>
                <w:p w14:paraId="697B58A7" w14:textId="77777777"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sz w:val="22"/>
                      <w:szCs w:val="22"/>
                    </w:rPr>
                  </w:pPr>
                  <w:r w:rsidRPr="00A24080">
                    <w:rPr>
                      <w:rFonts w:ascii="Times New Roman" w:hAnsi="Times New Roman"/>
                      <w:sz w:val="22"/>
                      <w:szCs w:val="22"/>
                    </w:rPr>
                    <w:t>Articolul 104a alineatul (3) litera (b) din Regulamentul (UE) nr. 575/2013</w:t>
                  </w:r>
                </w:p>
                <w:p w14:paraId="00A634B4" w14:textId="63AB2ACE"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În cazul în care din reclasificare a rezultat o creștere netă a cerințelor de fonduri proprii și în cazul în care autoritatea competentă nu a permis recunoașterea reducerii cerințelor de fonduri proprii, nu se indică nicio dată.</w:t>
                  </w:r>
                </w:p>
              </w:tc>
            </w:tr>
          </w:tbl>
          <w:p w14:paraId="52E49A32" w14:textId="77777777" w:rsidR="006766CE" w:rsidRPr="00A24080" w:rsidRDefault="006766CE" w:rsidP="0028208B">
            <w:pPr>
              <w:ind w:right="90"/>
              <w:jc w:val="both"/>
              <w:rPr>
                <w:sz w:val="22"/>
                <w:szCs w:val="22"/>
                <w:lang w:val="ro-RO"/>
              </w:rPr>
            </w:pPr>
          </w:p>
        </w:tc>
        <w:tc>
          <w:tcPr>
            <w:tcW w:w="5103" w:type="dxa"/>
          </w:tcPr>
          <w:tbl>
            <w:tblPr>
              <w:tblStyle w:val="TableGrid"/>
              <w:tblW w:w="0" w:type="auto"/>
              <w:tblLayout w:type="fixed"/>
              <w:tblLook w:val="04A0" w:firstRow="1" w:lastRow="0" w:firstColumn="1" w:lastColumn="0" w:noHBand="0" w:noVBand="1"/>
            </w:tblPr>
            <w:tblGrid>
              <w:gridCol w:w="1056"/>
              <w:gridCol w:w="3861"/>
            </w:tblGrid>
            <w:tr w:rsidR="00D85EE0" w:rsidRPr="00EE7DB0" w14:paraId="21E3E502" w14:textId="77777777" w:rsidTr="003146FA">
              <w:tc>
                <w:tcPr>
                  <w:tcW w:w="1056" w:type="dxa"/>
                </w:tcPr>
                <w:p w14:paraId="2E67907E" w14:textId="77777777"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rPr>
                    <w:t>0110</w:t>
                  </w:r>
                </w:p>
              </w:tc>
              <w:tc>
                <w:tcPr>
                  <w:tcW w:w="3861" w:type="dxa"/>
                  <w:vAlign w:val="bottom"/>
                </w:tcPr>
                <w:p w14:paraId="561F0278" w14:textId="5050E726" w:rsidR="00D85EE0" w:rsidRPr="00A24080" w:rsidRDefault="00D85EE0" w:rsidP="0028208B">
                  <w:pPr>
                    <w:pStyle w:val="BodyText"/>
                    <w:framePr w:hSpace="180" w:wrap="around" w:vAnchor="text" w:hAnchor="text" w:x="-612" w:y="1"/>
                    <w:spacing w:before="120" w:after="120"/>
                    <w:suppressOverlap/>
                    <w:jc w:val="both"/>
                    <w:rPr>
                      <w:rFonts w:ascii="Times New Roman" w:hAnsi="Times New Roman" w:cs="Times New Roman"/>
                      <w:b/>
                      <w:sz w:val="22"/>
                      <w:szCs w:val="22"/>
                      <w:u w:val="single"/>
                    </w:rPr>
                  </w:pPr>
                  <w:r w:rsidRPr="00A24080">
                    <w:rPr>
                      <w:rFonts w:ascii="Times New Roman" w:hAnsi="Times New Roman"/>
                      <w:b/>
                      <w:sz w:val="22"/>
                      <w:szCs w:val="22"/>
                      <w:u w:val="single"/>
                    </w:rPr>
                    <w:t xml:space="preserve">Data de la care </w:t>
                  </w:r>
                  <w:r w:rsidR="001A7131" w:rsidRPr="00A24080">
                    <w:rPr>
                      <w:rFonts w:ascii="Times New Roman" w:hAnsi="Times New Roman"/>
                      <w:b/>
                      <w:sz w:val="22"/>
                      <w:szCs w:val="22"/>
                      <w:u w:val="single"/>
                    </w:rPr>
                    <w:t>BNM</w:t>
                  </w:r>
                  <w:r w:rsidRPr="00A24080">
                    <w:rPr>
                      <w:rFonts w:ascii="Times New Roman" w:hAnsi="Times New Roman"/>
                      <w:b/>
                      <w:sz w:val="22"/>
                      <w:szCs w:val="22"/>
                      <w:u w:val="single"/>
                    </w:rPr>
                    <w:t xml:space="preserve"> permite recunoașterea reducerii cerințelor de fonduri proprii</w:t>
                  </w:r>
                </w:p>
                <w:p w14:paraId="57178BCC" w14:textId="77777777" w:rsidR="0028208B" w:rsidRDefault="00AA3FE6" w:rsidP="0028208B">
                  <w:pPr>
                    <w:framePr w:hSpace="180" w:wrap="around" w:vAnchor="text" w:hAnchor="text" w:x="-612" w:y="1"/>
                    <w:ind w:right="90"/>
                    <w:suppressOverlap/>
                    <w:jc w:val="both"/>
                    <w:rPr>
                      <w:sz w:val="22"/>
                      <w:szCs w:val="22"/>
                      <w:lang w:val="ro-RO"/>
                    </w:rPr>
                  </w:pPr>
                  <w:r w:rsidRPr="00A24080">
                    <w:rPr>
                      <w:sz w:val="22"/>
                      <w:szCs w:val="22"/>
                      <w:lang w:val="ro-RO"/>
                    </w:rPr>
                    <w:t>Subpct.28.2 din Regulamentul nr.XX/2026</w:t>
                  </w:r>
                </w:p>
                <w:p w14:paraId="0D5C1D7C" w14:textId="7DE50C58" w:rsidR="00D85EE0" w:rsidRPr="00A24080" w:rsidRDefault="00D85EE0" w:rsidP="0028208B">
                  <w:pPr>
                    <w:framePr w:hSpace="180" w:wrap="around" w:vAnchor="text" w:hAnchor="text" w:x="-612" w:y="1"/>
                    <w:ind w:right="90"/>
                    <w:suppressOverlap/>
                    <w:jc w:val="both"/>
                    <w:rPr>
                      <w:sz w:val="22"/>
                      <w:szCs w:val="22"/>
                      <w:lang w:val="ro-RO"/>
                    </w:rPr>
                  </w:pPr>
                  <w:r w:rsidRPr="00A24080">
                    <w:rPr>
                      <w:sz w:val="22"/>
                      <w:szCs w:val="22"/>
                      <w:lang w:val="ro-RO"/>
                    </w:rPr>
                    <w:t xml:space="preserve">În cazul în care din reclasificare a rezultat o creștere netă a cerințelor de fonduri proprii și în cazul în care </w:t>
                  </w:r>
                  <w:r w:rsidR="001A7131" w:rsidRPr="00A24080">
                    <w:rPr>
                      <w:sz w:val="22"/>
                      <w:szCs w:val="22"/>
                      <w:lang w:val="ro-RO"/>
                    </w:rPr>
                    <w:t>BNM</w:t>
                  </w:r>
                  <w:r w:rsidRPr="00A24080">
                    <w:rPr>
                      <w:sz w:val="22"/>
                      <w:szCs w:val="22"/>
                      <w:lang w:val="ro-RO"/>
                    </w:rPr>
                    <w:t xml:space="preserve"> nu a permis recunoașterea reducerii cerințelor de fonduri proprii, nu se indică nicio dată.</w:t>
                  </w:r>
                </w:p>
              </w:tc>
            </w:tr>
          </w:tbl>
          <w:p w14:paraId="26FC6282" w14:textId="77777777" w:rsidR="006766CE" w:rsidRPr="00A24080" w:rsidRDefault="006766CE" w:rsidP="0028208B">
            <w:pPr>
              <w:ind w:right="90"/>
              <w:jc w:val="both"/>
              <w:rPr>
                <w:sz w:val="22"/>
                <w:szCs w:val="22"/>
                <w:lang w:val="ro-RO"/>
              </w:rPr>
            </w:pPr>
          </w:p>
        </w:tc>
        <w:tc>
          <w:tcPr>
            <w:tcW w:w="1418" w:type="dxa"/>
          </w:tcPr>
          <w:p w14:paraId="3B5BCFBF" w14:textId="594EBE04" w:rsidR="006766CE" w:rsidRPr="00A24080" w:rsidRDefault="005D4484" w:rsidP="0028208B">
            <w:pPr>
              <w:jc w:val="both"/>
              <w:rPr>
                <w:sz w:val="22"/>
                <w:szCs w:val="22"/>
                <w:lang w:val="ro-RO"/>
              </w:rPr>
            </w:pPr>
            <w:r w:rsidRPr="00A24080">
              <w:rPr>
                <w:sz w:val="22"/>
                <w:szCs w:val="22"/>
                <w:lang w:val="ro-RO"/>
              </w:rPr>
              <w:t>compatibil</w:t>
            </w:r>
          </w:p>
        </w:tc>
        <w:tc>
          <w:tcPr>
            <w:tcW w:w="3544" w:type="dxa"/>
            <w:tcBorders>
              <w:top w:val="single" w:sz="4" w:space="0" w:color="auto"/>
              <w:bottom w:val="single" w:sz="4" w:space="0" w:color="auto"/>
            </w:tcBorders>
          </w:tcPr>
          <w:p w14:paraId="4C3DA6E8" w14:textId="77777777" w:rsidR="006766CE" w:rsidRPr="00A24080" w:rsidRDefault="006766CE" w:rsidP="0028208B">
            <w:pPr>
              <w:jc w:val="both"/>
              <w:rPr>
                <w:bCs/>
                <w:sz w:val="22"/>
                <w:szCs w:val="22"/>
                <w:lang w:val="ro-RO"/>
              </w:rPr>
            </w:pPr>
          </w:p>
        </w:tc>
      </w:tr>
    </w:tbl>
    <w:p w14:paraId="5CBF6CCB" w14:textId="0FCE7181" w:rsidR="00B65ABB" w:rsidRPr="00A24080" w:rsidRDefault="0028208B" w:rsidP="00A24080">
      <w:pPr>
        <w:rPr>
          <w:sz w:val="22"/>
          <w:szCs w:val="22"/>
          <w:lang w:val="ro-RO"/>
        </w:rPr>
      </w:pPr>
      <w:r>
        <w:rPr>
          <w:sz w:val="22"/>
          <w:szCs w:val="22"/>
          <w:lang w:val="ro-RO"/>
        </w:rPr>
        <w:br w:type="textWrapping" w:clear="all"/>
      </w:r>
    </w:p>
    <w:sectPr w:rsidR="00B65ABB" w:rsidRPr="00A24080" w:rsidSect="00707016">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750C" w14:textId="77777777" w:rsidR="006F6F5E" w:rsidRDefault="006F6F5E" w:rsidP="00EA4FFC">
      <w:r>
        <w:separator/>
      </w:r>
    </w:p>
  </w:endnote>
  <w:endnote w:type="continuationSeparator" w:id="0">
    <w:p w14:paraId="0E31C47E" w14:textId="77777777" w:rsidR="006F6F5E" w:rsidRDefault="006F6F5E" w:rsidP="00EA4FFC">
      <w:r>
        <w:continuationSeparator/>
      </w:r>
    </w:p>
  </w:endnote>
  <w:endnote w:type="continuationNotice" w:id="1">
    <w:p w14:paraId="5232C6CC" w14:textId="77777777" w:rsidR="0084514D" w:rsidRDefault="0084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D52B" w14:textId="47662F19" w:rsidR="004F18C6" w:rsidRDefault="00BC3D3D">
    <w:pPr>
      <w:pStyle w:val="Footer"/>
    </w:pPr>
    <w:r>
      <w:rPr>
        <w:noProof/>
      </w:rPr>
      <mc:AlternateContent>
        <mc:Choice Requires="wps">
          <w:drawing>
            <wp:anchor distT="0" distB="0" distL="0" distR="0" simplePos="0" relativeHeight="251658244" behindDoc="0" locked="0" layoutInCell="1" allowOverlap="1" wp14:anchorId="672CA40E" wp14:editId="12079184">
              <wp:simplePos x="0" y="0"/>
              <wp:positionH relativeFrom="page">
                <wp:align>center</wp:align>
              </wp:positionH>
              <wp:positionV relativeFrom="page">
                <wp:align>bottom</wp:align>
              </wp:positionV>
              <wp:extent cx="443865"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4BF7D91" w14:textId="6140F293"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72CA40E" id="_x0000_t202" coordsize="21600,21600" o:spt="202" path="m,l,21600r21600,l21600,xe">
              <v:stroke joinstyle="miter"/>
              <v:path gradientshapeok="t" o:connecttype="rect"/>
            </v:shapetype>
            <v:shape id="Text Box 3" o:spid="_x0000_s1028" type="#_x0000_t202" style="position:absolute;margin-left:0;margin-top:0;width:34.95pt;height:34.95pt;z-index:251658244;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QyMKFwIAADUEAAAOAAAAZHJzL2Uyb0RvYy54bWysU01v2zAMvQ/YfxB0X+xkbdEZcYqsRYYB QVsgHXqWZSk2JomCpMTOfv0o2U62bqdhF5kmKX6897S867UiR+F8C6ak81lOiTAc6tbsS/rtZfPh lhIfmKmZAiNKehKe3q3ev1t2thALaEDVwhEsYnzR2ZI2IdgiyzxvhGZ+BlYYDEpwmgX8dfusdqzD 6lplizy/yTpwtXXAhffofRiCdJXqSyl4eJLSi0BUSXG2kE6Xziqe2WrJir1jtmn5OAb7hyk0aw02 PZd6YIGRg2v/KKVb7sCDDDMOOgMpWy7SDrjNPH+zza5hVqRdEBxvzzD5/1eWPx539tmR0H+GHglM S3i7Bf7dIzZZZ30x5kRMfeExOy7aS6fjF1cgeBGxPZ3xFH0gHJ1XVx9vb64p4Rga7Vjzctk6H74I 0CQaJXVIVxqAHbc+DKlTSuxlYNMqlShT5jcH1oyeNO4wYZw19FVP2rqki8hz9FRQn3BbB4MQvOWb FltvmQ/PzCHzuAeqOTzhIRV0JYXRoqQB9+Nv/piPhGCUkg6VVFKDUqdEfTVIVBTdZLjJqJIx/5Rf 5xg3B30PqM85PhXLk4leF9RkSgf6FXW+jo0wxAzHdiWtJvM+DJLGd8LFep2SUF+Wha3ZWT7xGrF8 6V+ZsyPgAZl6hElmrHiD+5AbgfZ2fQiIfiLlAuSIOGoz0Tq+oyj+X/9T1uW1r34CAAD//wMAUEsD BBQABgAIAAAAIQA37dH42QAAAAMBAAAPAAAAZHJzL2Rvd25yZXYueG1sTI9BT8MwDIXvSPyHyEjc WMomJlaaTmgSpyGkbVy4eYnXFhqnatyt+/cEOLCLn6xnvfe5WI6+VUfqYxPYwP0kA0Vsg2u4MvC+ e7l7BBUF2WEbmAycKcKyvL4qMHfhxBs6bqVSKYRjjgZqkS7XOtqaPMZJ6IiTdwi9R0lrX2nX4ymF +1ZPs2yuPTacGmrsaFWT/doO3sDDRl6HN97NPsbp+XPdrezssLbG3N6Mz0+ghEb5P4Yf/IQOZWLa h4FdVK2B9Ij8zuTNFwtQ+z/VZaEv2ctvAAAA//8DAFBLAQItABQABgAIAAAAIQC2gziS/gAAAOEB AAATAAAAAAAAAAAAAAAAAAAAAABbQ29udGVudF9UeXBlc10ueG1sUEsBAi0AFAAGAAgAAAAhADj9 If/WAAAAlAEAAAsAAAAAAAAAAAAAAAAALwEAAF9yZWxzLy5yZWxzUEsBAi0AFAAGAAgAAAAhAFJD IwoXAgAANQQAAA4AAAAAAAAAAAAAAAAALgIAAGRycy9lMm9Eb2MueG1sUEsBAi0AFAAGAAgAAAAh ADft0fjZAAAAAwEAAA8AAAAAAAAAAAAAAAAAcQQAAGRycy9kb3ducmV2LnhtbFBLBQYAAAAABAAE APMAAAB3BQAAAAA= " filled="f" stroked="f">
              <v:textbox style="mso-fit-shape-to-text:t" inset="0,0,0,15pt">
                <w:txbxContent>
                  <w:p w14:paraId="24BF7D91" w14:textId="6140F293"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3584"/>
      <w:docPartObj>
        <w:docPartGallery w:val="Page Numbers (Bottom of Page)"/>
        <w:docPartUnique/>
      </w:docPartObj>
    </w:sdtPr>
    <w:sdtEndPr>
      <w:rPr>
        <w:noProof/>
      </w:rPr>
    </w:sdtEndPr>
    <w:sdtContent>
      <w:p w14:paraId="1AB0B4A0" w14:textId="2274E833" w:rsidR="000101CB" w:rsidRDefault="00010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38B99" w14:textId="7DBB6F7B" w:rsidR="004F18C6" w:rsidRDefault="004F1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598B" w14:textId="6CF79DEB" w:rsidR="004F18C6" w:rsidRDefault="00BC3D3D">
    <w:pPr>
      <w:pStyle w:val="Footer"/>
    </w:pPr>
    <w:r>
      <w:rPr>
        <w:noProof/>
      </w:rPr>
      <mc:AlternateContent>
        <mc:Choice Requires="wps">
          <w:drawing>
            <wp:anchor distT="0" distB="0" distL="0" distR="0" simplePos="0" relativeHeight="251658243" behindDoc="0" locked="0" layoutInCell="1" allowOverlap="1" wp14:anchorId="1B1A1D75" wp14:editId="30CE1490">
              <wp:simplePos x="0" y="0"/>
              <wp:positionH relativeFrom="page">
                <wp:align>center</wp:align>
              </wp:positionH>
              <wp:positionV relativeFrom="page">
                <wp:align>bottom</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45519F4" w14:textId="7FD1ABFC"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1A1D75" id="_x0000_t202" coordsize="21600,21600" o:spt="202" path="m,l,21600r21600,l21600,xe">
              <v:stroke joinstyle="miter"/>
              <v:path gradientshapeok="t" o:connecttype="rect"/>
            </v:shapetype>
            <v:shape id="Text Box 1" o:spid="_x0000_s1030" type="#_x0000_t202" style="position:absolute;margin-left:0;margin-top:0;width:34.95pt;height:34.9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wIyHFgIAADUEAAAOAAAAZHJzL2Uyb0RvYy54bWysU01v2zAMvQ/YfxB0X+x0bdEZcYqsRYYB QVsgHXpWZCk2JouCqMTufv0o2U62bqdhF5kmKX6897S47VvDjspjA7bk81nOmbISqsbuS/7tef3h hjMMwlbCgFUlf1XIb5fv3y06V6gLqMFUyjMqYrHoXMnrEFyRZShr1QqcgVOWghp8KwL9+n1WedFR 9dZkF3l+nXXgK+dBKkTy3g9Bvkz1tVYyPGqNKjBTcpotpNOncxfPbLkQxd4LVzdyHEP8wxStaCw1 PZW6F0Gwg2/+KNU20gOCDjMJbQZaN1KlHWibef5mm20tnEq7EDjoTjDh/ysrH45b9+RZ6D9DTwSm JdBtQH5HwibrHBZjTsQUC6TsuGivfRu/tAKji4Tt6wlP1QcmyXl5+fHm+oozSaHRjjXPl53H8EVB y6JRck90pQHEcYNhSJ1SYi8L68aYRJmxvzmoZvSkcYcJ46yh3/Wsqah55Dl6dlC90rYeBiGgk+uG Wm8EhifhiXnag9QcHunQBrqSw2hxVoP/8Td/zCdCKMpZR0oquSWpc2a+WiIqim4y/GTskjH/lF/l FLeH9g5In3N6Kk4mk7w+mMnUHtoX0vkqNqKQsJLalXw3mXdhkDS9E6lWq5RE+nIibOzWyYnXiOVz /yK8GwEPxNQDTDITxRvch9wINLrVIRD6iZQzkCPipM1E6/iOovh//U9Z59e+/AkAAP//AwBQSwME FAAGAAgAAAAhADft0fjZAAAAAwEAAA8AAABkcnMvZG93bnJldi54bWxMj0FPwzAMhe9I/IfISNxY yiYmVppOaBKnIaRtXLh5idcWGqdq3K379wQ4sIufrGe997lYjr5VR+pjE9jA/SQDRWyDa7gy8L57 uXsEFQXZYRuYDJwpwrK8viowd+HEGzpupVIphGOOBmqRLtc62po8xknoiJN3CL1HSWtfadfjKYX7 Vk+zbK49NpwaauxoVZP92g7ewMNGXoc33s0+xun5c92t7Oywtsbc3ozPT6CERvk/hh/8hA5lYtqH gV1UrYH0iPzO5M0XC1D7P9VloS/Zy28AAAD//wMAUEsBAi0AFAAGAAgAAAAhALaDOJL+AAAA4QEA ABMAAAAAAAAAAAAAAAAAAAAAAFtDb250ZW50X1R5cGVzXS54bWxQSwECLQAUAAYACAAAACEAOP0h /9YAAACUAQAACwAAAAAAAAAAAAAAAAAvAQAAX3JlbHMvLnJlbHNQSwECLQAUAAYACAAAACEAPMCM hxYCAAA1BAAADgAAAAAAAAAAAAAAAAAuAgAAZHJzL2Uyb0RvYy54bWxQSwECLQAUAAYACAAAACEA N+3R+NkAAAADAQAADwAAAAAAAAAAAAAAAABwBAAAZHJzL2Rvd25yZXYueG1sUEsFBgAAAAAEAAQA 8wAAAHYFAAAAAA== " filled="f" stroked="f">
              <v:textbox style="mso-fit-shape-to-text:t" inset="0,0,0,15pt">
                <w:txbxContent>
                  <w:p w14:paraId="745519F4" w14:textId="7FD1ABFC" w:rsidR="004F18C6" w:rsidRPr="004F18C6" w:rsidRDefault="004F18C6" w:rsidP="004F18C6">
                    <w:pPr>
                      <w:rPr>
                        <w:rFonts w:ascii="Calibri" w:eastAsia="Calibri" w:hAnsi="Calibri" w:cs="Calibri"/>
                        <w:noProof/>
                        <w:color w:val="000000"/>
                        <w:sz w:val="16"/>
                        <w:szCs w:val="16"/>
                        <w:lang w:val="it-IT"/>
                      </w:rPr>
                    </w:pPr>
                    <w:r w:rsidRPr="004F18C6">
                      <w:rPr>
                        <w:rFonts w:ascii="Calibri" w:eastAsia="Calibri" w:hAnsi="Calibri" w:cs="Calibri"/>
                        <w:noProof/>
                        <w:color w:val="000000"/>
                        <w:sz w:val="16"/>
                        <w:szCs w:val="16"/>
                        <w:lang w:val="it-IT"/>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0089" w14:textId="77777777" w:rsidR="006F6F5E" w:rsidRDefault="006F6F5E" w:rsidP="00EA4FFC">
      <w:r>
        <w:separator/>
      </w:r>
    </w:p>
  </w:footnote>
  <w:footnote w:type="continuationSeparator" w:id="0">
    <w:p w14:paraId="767B2185" w14:textId="77777777" w:rsidR="006F6F5E" w:rsidRDefault="006F6F5E" w:rsidP="00EA4FFC">
      <w:r>
        <w:continuationSeparator/>
      </w:r>
    </w:p>
  </w:footnote>
  <w:footnote w:type="continuationNotice" w:id="1">
    <w:p w14:paraId="5E74C696" w14:textId="77777777" w:rsidR="0084514D" w:rsidRDefault="00845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A3E" w14:textId="5D28FBA7" w:rsidR="004F18C6" w:rsidRDefault="00BC3D3D">
    <w:pPr>
      <w:pStyle w:val="Header"/>
    </w:pPr>
    <w:r>
      <w:rPr>
        <w:noProof/>
      </w:rPr>
      <mc:AlternateContent>
        <mc:Choice Requires="wps">
          <w:drawing>
            <wp:anchor distT="0" distB="0" distL="0" distR="0" simplePos="0" relativeHeight="251658241" behindDoc="0" locked="0" layoutInCell="1" allowOverlap="1" wp14:anchorId="260D1D96" wp14:editId="000BBB9C">
              <wp:simplePos x="0" y="0"/>
              <wp:positionH relativeFrom="page">
                <wp:align>right</wp:align>
              </wp:positionH>
              <wp:positionV relativeFrom="page">
                <wp:align>top</wp:align>
              </wp:positionV>
              <wp:extent cx="443865" cy="4438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D099416" w14:textId="23831032"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60D1D96" id="_x0000_t202" coordsize="21600,21600" o:spt="202" path="m,l,21600r21600,l21600,xe">
              <v:stroke joinstyle="miter"/>
              <v:path gradientshapeok="t" o:connecttype="rect"/>
            </v:shapetype>
            <v:shape id="Text Box 5" o:spid="_x0000_s1026" type="#_x0000_t202" style="position:absolute;margin-left:-16.25pt;margin-top:0;width:34.95pt;height:34.95pt;z-index:251658241;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CsX+FwIAADMEAAAOAAAAZHJzL2Uyb0RvYy54bWysU01v2zAMvQ/YfxB0X+xkSdEZcYqsRYYB QVsgHXpWZCk2JomCpMTOfv0o2U62bqdhF5mknvnx+LS867QiJ+F8A6ak00lOiTAcqsYcSvrtZfPh lhIfmKmYAiNKehae3q3ev1u2thAzqEFVwhFMYnzR2pLWIdgiyzyvhWZ+AlYYvJTgNAvoukNWOdZi dq2yWZ7fZC24yjrgwnuMPvSXdJXySyl4eJLSi0BUSbG3kE6Xzn08s9WSFQfHbN3woQ32D11o1hgs ekn1wAIjR9f8kUo33IEHGSYcdAZSNlykGXCaaf5mml3NrEizIDneXmjy/y8tfzzt7LMjofsMHS4w DeHtFvh3j9xkrfXFgImc+sIjOg7aSafjF0cg+CNye77wKbpAOAbn84+3NwtKOF4Ndsx5/dk6H74I 0CQaJXW4rtQAO2196KEjJNYysGmUSitT5rcA5oyR1G7fYew1dPsO0dHcQ3XGMR30CvCWbxqsuWU+ PDOHK8cBUMbhCQ+poC0pDBYlNbgff4tHPG4CbylpUUIlNahxStRXgxuKakvG9FO+yNFzyZst5nn0 9iPIHPU9oDqn+FAsT2YEBzWa0oF+RZWvYzW8YoZjzZKG0bwPvaDxlXCxXicQqsuysDU7y8etRiZf ulfm7EB3wD09wigyVrxhvcdGmr1dHwNyn1ZyZXPgG5WZljq8oij9X/2Eur711U8AAAD//wMAUEsD BBQABgAIAAAAIQB3V4RC2gAAAAMBAAAPAAAAZHJzL2Rvd25yZXYueG1sTI9BS8NAEIXvgv9hmYIX sRsVShOzKSIU7MGDrTl4m2SnSWh2Nuxu0+Tfu+pBL/MY3vDeN/lmMr0YyfnOsoL7ZQKCuLa640bB x2F7twbhA7LG3jIpmMnDpri+yjHT9sLvNO5DI2II+wwVtCEMmZS+bsmgX9qBOHpH6wyGuLpGaoeX GG56+ZAkK2mw49jQ4kAvLdWn/dkoKCd3+7ZNd69z9dmNc7IrH9fHUqmbxfT8BCLQFP6O4Rs/okMR mSp7Zu1FryA+En5m9FZpCqL6VVnk8j978QUAAP//AwBQSwECLQAUAAYACAAAACEAtoM4kv4AAADh AQAAEwAAAAAAAAAAAAAAAAAAAAAAW0NvbnRlbnRfVHlwZXNdLnhtbFBLAQItABQABgAIAAAAIQA4 /SH/1gAAAJQBAAALAAAAAAAAAAAAAAAAAC8BAABfcmVscy8ucmVsc1BLAQItABQABgAIAAAAIQCp CsX+FwIAADMEAAAOAAAAAAAAAAAAAAAAAC4CAABkcnMvZTJvRG9jLnhtbFBLAQItABQABgAIAAAA IQB3V4RC2gAAAAMBAAAPAAAAAAAAAAAAAAAAAHEEAABkcnMvZG93bnJldi54bWxQSwUGAAAAAAQA BADzAAAAeAUAAAAA " filled="f" stroked="f">
              <v:textbox style="mso-fit-shape-to-text:t" inset="0,15pt,20pt,0">
                <w:txbxContent>
                  <w:p w14:paraId="6D099416" w14:textId="23831032"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C9A3" w14:textId="10F44D63" w:rsidR="004F18C6" w:rsidRDefault="00BC3D3D">
    <w:pPr>
      <w:pStyle w:val="Header"/>
    </w:pPr>
    <w:r>
      <w:rPr>
        <w:noProof/>
      </w:rPr>
      <mc:AlternateContent>
        <mc:Choice Requires="wps">
          <w:drawing>
            <wp:anchor distT="0" distB="0" distL="0" distR="0" simplePos="0" relativeHeight="251658242" behindDoc="0" locked="0" layoutInCell="1" allowOverlap="1" wp14:anchorId="7DD77B06" wp14:editId="67AA726A">
              <wp:simplePos x="0" y="0"/>
              <wp:positionH relativeFrom="page">
                <wp:align>right</wp:align>
              </wp:positionH>
              <wp:positionV relativeFrom="page">
                <wp:align>top</wp:align>
              </wp:positionV>
              <wp:extent cx="527050" cy="3765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376555"/>
                      </a:xfrm>
                      <a:prstGeom prst="rect">
                        <a:avLst/>
                      </a:prstGeom>
                      <a:noFill/>
                      <a:ln>
                        <a:noFill/>
                      </a:ln>
                    </wps:spPr>
                    <wps:txbx>
                      <w:txbxContent>
                        <w:p w14:paraId="145DE942" w14:textId="71CA50C1"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DD77B06" id="_x0000_t202" coordsize="21600,21600" o:spt="202" path="m,l,21600r21600,l21600,xe">
              <v:stroke joinstyle="miter"/>
              <v:path gradientshapeok="t" o:connecttype="rect"/>
            </v:shapetype>
            <v:shape id="Text Box 4" o:spid="_x0000_s1027" type="#_x0000_t202" style="position:absolute;margin-left:-9.7pt;margin-top:0;width:41.5pt;height:29.65pt;z-index:25165824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VMCHgIAADoEAAAOAAAAZHJzL2Uyb0RvYy54bWysU11v0zAUfUfiP1h+p0kL2SBqOpVNRUjV NqlDe3Ydu4mwfS3bbTJ+PddO0sLgCfHi3K9c33vO8fKm14qchPMtmIrOZzklwnCoW3Oo6LenzbuP lPjATM0UGFHRF+Hpzertm2VnS7GABlQtHMEmxpedrWgTgi2zzPNGaOZnYIXBpASnWUDXHbLasQ67 a5Ut8vwq68DV1gEX3mP0bkjSVeovpeDhQUovAlEVxdlCOl069/HMVktWHhyzTcvHMdg/TKFZa/DS c6s7Fhg5uvaPVrrlDjzIMOOgM5Cy5SLtgNvM81fb7BpmRdoFwfH2DJP/f235/WlnHx0J/WfokcC0 hLdb4N89YpN11pdjTcTUlx6r46K9dDp+cQWCPyK2L2c8RR8Ix2CxuM4LzHBMvb++Kooi4p1dfrbO hy8CNIlGRR3SlQZgp60PQ+lUEu8ysGmVSpQp81sAe8ZIGneYMM4a+n1P2jquhT/FyB7qF9zWwSAE b/mmxau3zIdH5pB5nBbVHB7wkAq6isJoUdKA+/G3eKxHQjBLSYdKqqhBqVOivhokKoouGfNPiAV6 LnmL4kMevf1UZI76FlCkc3wvliczFgc1mdKBfkaxr+NtmGKG450VDZN5GwZd42PhYr1ORSgyy8LW 7CyfyI2APvXPzNkR9YB03cOkNVa+An+ojWh7uz4GpCAxc0FzhB0FmrgdH1N8Ab/6qery5Fc/AQAA //8DAFBLAwQUAAYACAAAACEAwgT42dsAAAADAQAADwAAAGRycy9kb3ducmV2LnhtbEyPQUvEMBCF 74L/IYzgRdxUi9KtTRcRFtyDB1d78JY2s22xmZQk223/vaMX9/Lg8Yb3vik2sx3EhD70jhTcrRIQ SI0zPbUKPj+2txmIEDUZPThCBQsG2JSXF4XOjTvRO0772AouoZBrBV2MYy5laDq0OqzciMTZwXmr I1vfSuP1icvtIO+T5FFa3RMvdHrElw6b7/3RKqhmf/O2Xe9el/qrn5ZkV6XZoVLq+mp+fgIRcY7/ x/CLz+hQMlPtjmSCGBTwI/FPOctSdrWCh3UKsizkOXv5AwAA//8DAFBLAQItABQABgAIAAAAIQC2 gziS/gAAAOEBAAATAAAAAAAAAAAAAAAAAAAAAABbQ29udGVudF9UeXBlc10ueG1sUEsBAi0AFAAG AAgAAAAhADj9If/WAAAAlAEAAAsAAAAAAAAAAAAAAAAALwEAAF9yZWxzLy5yZWxzUEsBAi0AFAAG AAgAAAAhAPGJUwIeAgAAOgQAAA4AAAAAAAAAAAAAAAAALgIAAGRycy9lMm9Eb2MueG1sUEsBAi0A FAAGAAgAAAAhAMIE+NnbAAAAAwEAAA8AAAAAAAAAAAAAAAAAeAQAAGRycy9kb3ducmV2LnhtbFBL BQYAAAAABAAEAPMAAACABQAAAAA= " filled="f" stroked="f">
              <v:textbox style="mso-fit-shape-to-text:t" inset="0,15pt,20pt,0">
                <w:txbxContent>
                  <w:p w14:paraId="145DE942" w14:textId="71CA50C1"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3E0A" w14:textId="356E6043" w:rsidR="004F18C6" w:rsidRDefault="00BC3D3D">
    <w:pPr>
      <w:pStyle w:val="Header"/>
    </w:pPr>
    <w:r>
      <w:rPr>
        <w:noProof/>
      </w:rPr>
      <mc:AlternateContent>
        <mc:Choice Requires="wps">
          <w:drawing>
            <wp:anchor distT="0" distB="0" distL="0" distR="0" simplePos="0" relativeHeight="251658240" behindDoc="0" locked="0" layoutInCell="1" allowOverlap="1" wp14:anchorId="695D5DE0" wp14:editId="41FA2BC8">
              <wp:simplePos x="0" y="0"/>
              <wp:positionH relativeFrom="page">
                <wp:align>right</wp:align>
              </wp:positionH>
              <wp:positionV relativeFrom="page">
                <wp:align>top</wp:align>
              </wp:positionV>
              <wp:extent cx="443865" cy="4438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85D21D1" w14:textId="47E7197B"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95D5DE0" id="_x0000_t202" coordsize="21600,21600" o:spt="202" path="m,l,21600r21600,l21600,xe">
              <v:stroke joinstyle="miter"/>
              <v:path gradientshapeok="t" o:connecttype="rect"/>
            </v:shapetype>
            <v:shape id="Text Box 2" o:spid="_x0000_s1029" type="#_x0000_t202" style="position:absolute;margin-left:-16.25pt;margin-top:0;width:34.95pt;height:34.95pt;z-index:251658240;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1iP8HAIAADoEAAAOAAAAZHJzL2Uyb0RvYy54bWysU01v2zAMvQ/YfxB0X+ykSdEacYqsRYYB QVsgHXpWZCk2JomCpMTOfv0o2W62bqdhF5kiaX6897S867QiJ+F8A6ak00lOiTAcqsYcSvrtZfPp hhIfmKmYAiNKehae3q0+fli2thAzqEFVwhEsYnzR2pLWIdgiyzyvhWZ+AlYYDEpwmgW8ukNWOdZi da2yWZ5fZy24yjrgwnv0PvRBukr1pRQ8PEnpRSCqpDhbSKdL5z6e2WrJioNjtm74MAb7hyk0aww2 fSv1wAIjR9f8UUo33IEHGSYcdAZSNlykHXCbaf5um13NrEi7IDjevsHk/19Z/nja2WdHQvcZOiQw LeHtFvh3j9hkrfXFkBMx9YXH7LhoJ52OX1yB4I+I7fkNT9EFwtE5n1/dXC8o4Rga7Fjz8rN1PnwR oEk0SuqQrjQAO2196FPHlNjLwKZRKlGmzG8OrBk9adx+wjhr6PYdaaqSXkWeo2cP1Rm3ddALwVu+ abD1lvnwzBwyj3ugmsMTHlJBW1IYLEpqcD/+5o/5SAhGKWlRSSU1KHVK1FeDREXRJWN6my9yvLl0 my3mebztxyRz1PeAIp3ie7E8mTE5qNGUDvQrin0du2GIGY49SxpG8z70usbHwsV6nZJQZJaFrdlZ PpIbAX3pXpmzA+oB6XqEUWuseAd+nxvR9nZ9DEhBYuaC5gA7CjRxOzym+AJ+vaesy5Nf/QQAAP// AwBQSwMEFAAGAAgAAAAhAHdXhELaAAAAAwEAAA8AAABkcnMvZG93bnJldi54bWxMj0FLw0AQhe+C /2GZghexGxVKE7MpIhTswYOtOXibZKdJaHY27G7T5N+76kEv8xje8N43+WYyvRjJ+c6ygvtlAoK4 trrjRsHHYXu3BuEDssbeMimYycOmuL7KMdP2wu807kMjYgj7DBW0IQyZlL5uyaBf2oE4ekfrDIa4 ukZqh5cYbnr5kCQrabDj2NDiQC8t1af92SgoJ3f7tk13r3P12Y1zsisf18dSqZvF9PwEItAU/o7h Gz+iQxGZKntm7UWvID4Sfmb0VmkKovpVWeTyP3vxBQAA//8DAFBLAQItABQABgAIAAAAIQC2gziS /gAAAOEBAAATAAAAAAAAAAAAAAAAAAAAAABbQ29udGVudF9UeXBlc10ueG1sUEsBAi0AFAAGAAgA AAAhADj9If/WAAAAlAEAAAsAAAAAAAAAAAAAAAAALwEAAF9yZWxzLy5yZWxzUEsBAi0AFAAGAAgA AAAhABPWI/wcAgAAOgQAAA4AAAAAAAAAAAAAAAAALgIAAGRycy9lMm9Eb2MueG1sUEsBAi0AFAAG AAgAAAAhAHdXhELaAAAAAwEAAA8AAAAAAAAAAAAAAAAAdgQAAGRycy9kb3ducmV2LnhtbFBLBQYA AAAABAAEAPMAAAB9BQAAAAA= " filled="f" stroked="f">
              <v:textbox style="mso-fit-shape-to-text:t" inset="0,15pt,20pt,0">
                <w:txbxContent>
                  <w:p w14:paraId="185D21D1" w14:textId="47E7197B" w:rsidR="004F18C6" w:rsidRPr="004F18C6" w:rsidRDefault="004F18C6" w:rsidP="004F18C6">
                    <w:pPr>
                      <w:rPr>
                        <w:rFonts w:ascii="Calibri" w:eastAsia="Calibri" w:hAnsi="Calibri" w:cs="Calibri"/>
                        <w:noProof/>
                        <w:color w:val="000000"/>
                      </w:rPr>
                    </w:pPr>
                    <w:r w:rsidRPr="004F18C6">
                      <w:rPr>
                        <w:rFonts w:ascii="Calibri" w:eastAsia="Calibri" w:hAnsi="Calibri" w:cs="Calibri"/>
                        <w:noProof/>
                        <w:color w:val="000000"/>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7C7"/>
    <w:multiLevelType w:val="hybridMultilevel"/>
    <w:tmpl w:val="AC023EC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1A1A07D3"/>
    <w:multiLevelType w:val="hybridMultilevel"/>
    <w:tmpl w:val="BFB2859A"/>
    <w:lvl w:ilvl="0" w:tplc="0818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2" w15:restartNumberingAfterBreak="0">
    <w:nsid w:val="1EE43B33"/>
    <w:multiLevelType w:val="hybridMultilevel"/>
    <w:tmpl w:val="A29009E6"/>
    <w:lvl w:ilvl="0" w:tplc="0C8CC4AC">
      <w:start w:val="1"/>
      <w:numFmt w:val="bullet"/>
      <w:lvlText w:val=""/>
      <w:lvlJc w:val="left"/>
      <w:pPr>
        <w:ind w:left="1120" w:hanging="360"/>
      </w:pPr>
      <w:rPr>
        <w:rFonts w:ascii="Symbol" w:hAnsi="Symbol"/>
      </w:rPr>
    </w:lvl>
    <w:lvl w:ilvl="1" w:tplc="767AB044">
      <w:start w:val="1"/>
      <w:numFmt w:val="bullet"/>
      <w:lvlText w:val=""/>
      <w:lvlJc w:val="left"/>
      <w:pPr>
        <w:ind w:left="1120" w:hanging="360"/>
      </w:pPr>
      <w:rPr>
        <w:rFonts w:ascii="Symbol" w:hAnsi="Symbol"/>
      </w:rPr>
    </w:lvl>
    <w:lvl w:ilvl="2" w:tplc="B498ADBE">
      <w:start w:val="1"/>
      <w:numFmt w:val="bullet"/>
      <w:lvlText w:val=""/>
      <w:lvlJc w:val="left"/>
      <w:pPr>
        <w:ind w:left="1120" w:hanging="360"/>
      </w:pPr>
      <w:rPr>
        <w:rFonts w:ascii="Symbol" w:hAnsi="Symbol"/>
      </w:rPr>
    </w:lvl>
    <w:lvl w:ilvl="3" w:tplc="ED6013B6">
      <w:start w:val="1"/>
      <w:numFmt w:val="bullet"/>
      <w:lvlText w:val=""/>
      <w:lvlJc w:val="left"/>
      <w:pPr>
        <w:ind w:left="1120" w:hanging="360"/>
      </w:pPr>
      <w:rPr>
        <w:rFonts w:ascii="Symbol" w:hAnsi="Symbol"/>
      </w:rPr>
    </w:lvl>
    <w:lvl w:ilvl="4" w:tplc="778A8534">
      <w:start w:val="1"/>
      <w:numFmt w:val="bullet"/>
      <w:lvlText w:val=""/>
      <w:lvlJc w:val="left"/>
      <w:pPr>
        <w:ind w:left="1120" w:hanging="360"/>
      </w:pPr>
      <w:rPr>
        <w:rFonts w:ascii="Symbol" w:hAnsi="Symbol"/>
      </w:rPr>
    </w:lvl>
    <w:lvl w:ilvl="5" w:tplc="C5749872">
      <w:start w:val="1"/>
      <w:numFmt w:val="bullet"/>
      <w:lvlText w:val=""/>
      <w:lvlJc w:val="left"/>
      <w:pPr>
        <w:ind w:left="1120" w:hanging="360"/>
      </w:pPr>
      <w:rPr>
        <w:rFonts w:ascii="Symbol" w:hAnsi="Symbol"/>
      </w:rPr>
    </w:lvl>
    <w:lvl w:ilvl="6" w:tplc="C6C042B0">
      <w:start w:val="1"/>
      <w:numFmt w:val="bullet"/>
      <w:lvlText w:val=""/>
      <w:lvlJc w:val="left"/>
      <w:pPr>
        <w:ind w:left="1120" w:hanging="360"/>
      </w:pPr>
      <w:rPr>
        <w:rFonts w:ascii="Symbol" w:hAnsi="Symbol"/>
      </w:rPr>
    </w:lvl>
    <w:lvl w:ilvl="7" w:tplc="C5A29364">
      <w:start w:val="1"/>
      <w:numFmt w:val="bullet"/>
      <w:lvlText w:val=""/>
      <w:lvlJc w:val="left"/>
      <w:pPr>
        <w:ind w:left="1120" w:hanging="360"/>
      </w:pPr>
      <w:rPr>
        <w:rFonts w:ascii="Symbol" w:hAnsi="Symbol"/>
      </w:rPr>
    </w:lvl>
    <w:lvl w:ilvl="8" w:tplc="E8B03A78">
      <w:start w:val="1"/>
      <w:numFmt w:val="bullet"/>
      <w:lvlText w:val=""/>
      <w:lvlJc w:val="left"/>
      <w:pPr>
        <w:ind w:left="1120" w:hanging="360"/>
      </w:pPr>
      <w:rPr>
        <w:rFonts w:ascii="Symbol" w:hAnsi="Symbol"/>
      </w:rPr>
    </w:lvl>
  </w:abstractNum>
  <w:abstractNum w:abstractNumId="3" w15:restartNumberingAfterBreak="0">
    <w:nsid w:val="42D070EB"/>
    <w:multiLevelType w:val="hybridMultilevel"/>
    <w:tmpl w:val="49E404BC"/>
    <w:lvl w:ilvl="0" w:tplc="E5A6A12C">
      <w:start w:val="1"/>
      <w:numFmt w:val="bullet"/>
      <w:lvlText w:val=""/>
      <w:lvlJc w:val="left"/>
      <w:pPr>
        <w:ind w:left="1120" w:hanging="360"/>
      </w:pPr>
      <w:rPr>
        <w:rFonts w:ascii="Symbol" w:hAnsi="Symbol"/>
      </w:rPr>
    </w:lvl>
    <w:lvl w:ilvl="1" w:tplc="C3F41476">
      <w:start w:val="1"/>
      <w:numFmt w:val="bullet"/>
      <w:lvlText w:val=""/>
      <w:lvlJc w:val="left"/>
      <w:pPr>
        <w:ind w:left="1120" w:hanging="360"/>
      </w:pPr>
      <w:rPr>
        <w:rFonts w:ascii="Symbol" w:hAnsi="Symbol"/>
      </w:rPr>
    </w:lvl>
    <w:lvl w:ilvl="2" w:tplc="5498AA1A">
      <w:start w:val="1"/>
      <w:numFmt w:val="bullet"/>
      <w:lvlText w:val=""/>
      <w:lvlJc w:val="left"/>
      <w:pPr>
        <w:ind w:left="1120" w:hanging="360"/>
      </w:pPr>
      <w:rPr>
        <w:rFonts w:ascii="Symbol" w:hAnsi="Symbol"/>
      </w:rPr>
    </w:lvl>
    <w:lvl w:ilvl="3" w:tplc="294E1EE8">
      <w:start w:val="1"/>
      <w:numFmt w:val="bullet"/>
      <w:lvlText w:val=""/>
      <w:lvlJc w:val="left"/>
      <w:pPr>
        <w:ind w:left="1120" w:hanging="360"/>
      </w:pPr>
      <w:rPr>
        <w:rFonts w:ascii="Symbol" w:hAnsi="Symbol"/>
      </w:rPr>
    </w:lvl>
    <w:lvl w:ilvl="4" w:tplc="1A94F424">
      <w:start w:val="1"/>
      <w:numFmt w:val="bullet"/>
      <w:lvlText w:val=""/>
      <w:lvlJc w:val="left"/>
      <w:pPr>
        <w:ind w:left="1120" w:hanging="360"/>
      </w:pPr>
      <w:rPr>
        <w:rFonts w:ascii="Symbol" w:hAnsi="Symbol"/>
      </w:rPr>
    </w:lvl>
    <w:lvl w:ilvl="5" w:tplc="C4DCE82C">
      <w:start w:val="1"/>
      <w:numFmt w:val="bullet"/>
      <w:lvlText w:val=""/>
      <w:lvlJc w:val="left"/>
      <w:pPr>
        <w:ind w:left="1120" w:hanging="360"/>
      </w:pPr>
      <w:rPr>
        <w:rFonts w:ascii="Symbol" w:hAnsi="Symbol"/>
      </w:rPr>
    </w:lvl>
    <w:lvl w:ilvl="6" w:tplc="9006A9F8">
      <w:start w:val="1"/>
      <w:numFmt w:val="bullet"/>
      <w:lvlText w:val=""/>
      <w:lvlJc w:val="left"/>
      <w:pPr>
        <w:ind w:left="1120" w:hanging="360"/>
      </w:pPr>
      <w:rPr>
        <w:rFonts w:ascii="Symbol" w:hAnsi="Symbol"/>
      </w:rPr>
    </w:lvl>
    <w:lvl w:ilvl="7" w:tplc="397A830C">
      <w:start w:val="1"/>
      <w:numFmt w:val="bullet"/>
      <w:lvlText w:val=""/>
      <w:lvlJc w:val="left"/>
      <w:pPr>
        <w:ind w:left="1120" w:hanging="360"/>
      </w:pPr>
      <w:rPr>
        <w:rFonts w:ascii="Symbol" w:hAnsi="Symbol"/>
      </w:rPr>
    </w:lvl>
    <w:lvl w:ilvl="8" w:tplc="F7FE6C2A">
      <w:start w:val="1"/>
      <w:numFmt w:val="bullet"/>
      <w:lvlText w:val=""/>
      <w:lvlJc w:val="left"/>
      <w:pPr>
        <w:ind w:left="1120" w:hanging="360"/>
      </w:pPr>
      <w:rPr>
        <w:rFonts w:ascii="Symbol" w:hAnsi="Symbol"/>
      </w:rPr>
    </w:lvl>
  </w:abstractNum>
  <w:abstractNum w:abstractNumId="4"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56F360F6"/>
    <w:multiLevelType w:val="hybridMultilevel"/>
    <w:tmpl w:val="25D81EE8"/>
    <w:lvl w:ilvl="0" w:tplc="EEA6F6F6">
      <w:start w:val="1"/>
      <w:numFmt w:val="bullet"/>
      <w:lvlText w:val=""/>
      <w:lvlJc w:val="left"/>
      <w:pPr>
        <w:ind w:left="1120" w:hanging="360"/>
      </w:pPr>
      <w:rPr>
        <w:rFonts w:ascii="Symbol" w:hAnsi="Symbol"/>
      </w:rPr>
    </w:lvl>
    <w:lvl w:ilvl="1" w:tplc="F1D62B2C">
      <w:start w:val="1"/>
      <w:numFmt w:val="bullet"/>
      <w:lvlText w:val=""/>
      <w:lvlJc w:val="left"/>
      <w:pPr>
        <w:ind w:left="1120" w:hanging="360"/>
      </w:pPr>
      <w:rPr>
        <w:rFonts w:ascii="Symbol" w:hAnsi="Symbol"/>
      </w:rPr>
    </w:lvl>
    <w:lvl w:ilvl="2" w:tplc="9A80D0D2">
      <w:start w:val="1"/>
      <w:numFmt w:val="bullet"/>
      <w:lvlText w:val=""/>
      <w:lvlJc w:val="left"/>
      <w:pPr>
        <w:ind w:left="1120" w:hanging="360"/>
      </w:pPr>
      <w:rPr>
        <w:rFonts w:ascii="Symbol" w:hAnsi="Symbol"/>
      </w:rPr>
    </w:lvl>
    <w:lvl w:ilvl="3" w:tplc="A9FEFF7E">
      <w:start w:val="1"/>
      <w:numFmt w:val="bullet"/>
      <w:lvlText w:val=""/>
      <w:lvlJc w:val="left"/>
      <w:pPr>
        <w:ind w:left="1120" w:hanging="360"/>
      </w:pPr>
      <w:rPr>
        <w:rFonts w:ascii="Symbol" w:hAnsi="Symbol"/>
      </w:rPr>
    </w:lvl>
    <w:lvl w:ilvl="4" w:tplc="0E46CEE8">
      <w:start w:val="1"/>
      <w:numFmt w:val="bullet"/>
      <w:lvlText w:val=""/>
      <w:lvlJc w:val="left"/>
      <w:pPr>
        <w:ind w:left="1120" w:hanging="360"/>
      </w:pPr>
      <w:rPr>
        <w:rFonts w:ascii="Symbol" w:hAnsi="Symbol"/>
      </w:rPr>
    </w:lvl>
    <w:lvl w:ilvl="5" w:tplc="5608E9DC">
      <w:start w:val="1"/>
      <w:numFmt w:val="bullet"/>
      <w:lvlText w:val=""/>
      <w:lvlJc w:val="left"/>
      <w:pPr>
        <w:ind w:left="1120" w:hanging="360"/>
      </w:pPr>
      <w:rPr>
        <w:rFonts w:ascii="Symbol" w:hAnsi="Symbol"/>
      </w:rPr>
    </w:lvl>
    <w:lvl w:ilvl="6" w:tplc="6368EAFE">
      <w:start w:val="1"/>
      <w:numFmt w:val="bullet"/>
      <w:lvlText w:val=""/>
      <w:lvlJc w:val="left"/>
      <w:pPr>
        <w:ind w:left="1120" w:hanging="360"/>
      </w:pPr>
      <w:rPr>
        <w:rFonts w:ascii="Symbol" w:hAnsi="Symbol"/>
      </w:rPr>
    </w:lvl>
    <w:lvl w:ilvl="7" w:tplc="CC102296">
      <w:start w:val="1"/>
      <w:numFmt w:val="bullet"/>
      <w:lvlText w:val=""/>
      <w:lvlJc w:val="left"/>
      <w:pPr>
        <w:ind w:left="1120" w:hanging="360"/>
      </w:pPr>
      <w:rPr>
        <w:rFonts w:ascii="Symbol" w:hAnsi="Symbol"/>
      </w:rPr>
    </w:lvl>
    <w:lvl w:ilvl="8" w:tplc="2E04B1BC">
      <w:start w:val="1"/>
      <w:numFmt w:val="bullet"/>
      <w:lvlText w:val=""/>
      <w:lvlJc w:val="left"/>
      <w:pPr>
        <w:ind w:left="1120" w:hanging="360"/>
      </w:pPr>
      <w:rPr>
        <w:rFonts w:ascii="Symbol" w:hAnsi="Symbol"/>
      </w:rPr>
    </w:lvl>
  </w:abstractNum>
  <w:abstractNum w:abstractNumId="6" w15:restartNumberingAfterBreak="0">
    <w:nsid w:val="62EE15DB"/>
    <w:multiLevelType w:val="hybridMultilevel"/>
    <w:tmpl w:val="32A0A9F6"/>
    <w:lvl w:ilvl="0" w:tplc="E0F6E6D8">
      <w:start w:val="1"/>
      <w:numFmt w:val="bullet"/>
      <w:lvlText w:val=""/>
      <w:lvlJc w:val="left"/>
      <w:pPr>
        <w:ind w:left="1120" w:hanging="360"/>
      </w:pPr>
      <w:rPr>
        <w:rFonts w:ascii="Symbol" w:hAnsi="Symbol"/>
      </w:rPr>
    </w:lvl>
    <w:lvl w:ilvl="1" w:tplc="7F041B92">
      <w:start w:val="1"/>
      <w:numFmt w:val="bullet"/>
      <w:lvlText w:val=""/>
      <w:lvlJc w:val="left"/>
      <w:pPr>
        <w:ind w:left="1120" w:hanging="360"/>
      </w:pPr>
      <w:rPr>
        <w:rFonts w:ascii="Symbol" w:hAnsi="Symbol"/>
      </w:rPr>
    </w:lvl>
    <w:lvl w:ilvl="2" w:tplc="31ECA862">
      <w:start w:val="1"/>
      <w:numFmt w:val="bullet"/>
      <w:lvlText w:val=""/>
      <w:lvlJc w:val="left"/>
      <w:pPr>
        <w:ind w:left="1120" w:hanging="360"/>
      </w:pPr>
      <w:rPr>
        <w:rFonts w:ascii="Symbol" w:hAnsi="Symbol"/>
      </w:rPr>
    </w:lvl>
    <w:lvl w:ilvl="3" w:tplc="38684B90">
      <w:start w:val="1"/>
      <w:numFmt w:val="bullet"/>
      <w:lvlText w:val=""/>
      <w:lvlJc w:val="left"/>
      <w:pPr>
        <w:ind w:left="1120" w:hanging="360"/>
      </w:pPr>
      <w:rPr>
        <w:rFonts w:ascii="Symbol" w:hAnsi="Symbol"/>
      </w:rPr>
    </w:lvl>
    <w:lvl w:ilvl="4" w:tplc="3996C190">
      <w:start w:val="1"/>
      <w:numFmt w:val="bullet"/>
      <w:lvlText w:val=""/>
      <w:lvlJc w:val="left"/>
      <w:pPr>
        <w:ind w:left="1120" w:hanging="360"/>
      </w:pPr>
      <w:rPr>
        <w:rFonts w:ascii="Symbol" w:hAnsi="Symbol"/>
      </w:rPr>
    </w:lvl>
    <w:lvl w:ilvl="5" w:tplc="686ECA20">
      <w:start w:val="1"/>
      <w:numFmt w:val="bullet"/>
      <w:lvlText w:val=""/>
      <w:lvlJc w:val="left"/>
      <w:pPr>
        <w:ind w:left="1120" w:hanging="360"/>
      </w:pPr>
      <w:rPr>
        <w:rFonts w:ascii="Symbol" w:hAnsi="Symbol"/>
      </w:rPr>
    </w:lvl>
    <w:lvl w:ilvl="6" w:tplc="B81EEA28">
      <w:start w:val="1"/>
      <w:numFmt w:val="bullet"/>
      <w:lvlText w:val=""/>
      <w:lvlJc w:val="left"/>
      <w:pPr>
        <w:ind w:left="1120" w:hanging="360"/>
      </w:pPr>
      <w:rPr>
        <w:rFonts w:ascii="Symbol" w:hAnsi="Symbol"/>
      </w:rPr>
    </w:lvl>
    <w:lvl w:ilvl="7" w:tplc="A528A104">
      <w:start w:val="1"/>
      <w:numFmt w:val="bullet"/>
      <w:lvlText w:val=""/>
      <w:lvlJc w:val="left"/>
      <w:pPr>
        <w:ind w:left="1120" w:hanging="360"/>
      </w:pPr>
      <w:rPr>
        <w:rFonts w:ascii="Symbol" w:hAnsi="Symbol"/>
      </w:rPr>
    </w:lvl>
    <w:lvl w:ilvl="8" w:tplc="9D9AAAEE">
      <w:start w:val="1"/>
      <w:numFmt w:val="bullet"/>
      <w:lvlText w:val=""/>
      <w:lvlJc w:val="left"/>
      <w:pPr>
        <w:ind w:left="1120" w:hanging="360"/>
      </w:pPr>
      <w:rPr>
        <w:rFonts w:ascii="Symbol" w:hAnsi="Symbol"/>
      </w:rPr>
    </w:lvl>
  </w:abstractNum>
  <w:abstractNum w:abstractNumId="7" w15:restartNumberingAfterBreak="0">
    <w:nsid w:val="6D6F093F"/>
    <w:multiLevelType w:val="hybridMultilevel"/>
    <w:tmpl w:val="E116BFEC"/>
    <w:lvl w:ilvl="0" w:tplc="783AB22E">
      <w:start w:val="1"/>
      <w:numFmt w:val="bullet"/>
      <w:lvlText w:val="-"/>
      <w:lvlJc w:val="left"/>
      <w:pPr>
        <w:ind w:left="720" w:hanging="360"/>
      </w:pPr>
      <w:rPr>
        <w:rFonts w:ascii="Calibri" w:hAnsi="Calibri" w:cs="Times New Roman" w:hint="default"/>
      </w:rPr>
    </w:lvl>
    <w:lvl w:ilvl="1" w:tplc="13E6DC68">
      <w:start w:val="1"/>
      <w:numFmt w:val="bullet"/>
      <w:lvlText w:val="o"/>
      <w:lvlJc w:val="left"/>
      <w:pPr>
        <w:ind w:left="1440" w:hanging="360"/>
      </w:pPr>
      <w:rPr>
        <w:rFonts w:ascii="Courier New" w:hAnsi="Courier New" w:cs="Times New Roman" w:hint="default"/>
      </w:rPr>
    </w:lvl>
    <w:lvl w:ilvl="2" w:tplc="04766A2A">
      <w:start w:val="1"/>
      <w:numFmt w:val="bullet"/>
      <w:lvlText w:val=""/>
      <w:lvlJc w:val="left"/>
      <w:pPr>
        <w:ind w:left="2160" w:hanging="360"/>
      </w:pPr>
      <w:rPr>
        <w:rFonts w:ascii="Wingdings" w:hAnsi="Wingdings" w:hint="default"/>
      </w:rPr>
    </w:lvl>
    <w:lvl w:ilvl="3" w:tplc="51A0BEB6">
      <w:start w:val="1"/>
      <w:numFmt w:val="bullet"/>
      <w:lvlText w:val=""/>
      <w:lvlJc w:val="left"/>
      <w:pPr>
        <w:ind w:left="2880" w:hanging="360"/>
      </w:pPr>
      <w:rPr>
        <w:rFonts w:ascii="Symbol" w:hAnsi="Symbol" w:hint="default"/>
      </w:rPr>
    </w:lvl>
    <w:lvl w:ilvl="4" w:tplc="D3061426">
      <w:start w:val="1"/>
      <w:numFmt w:val="bullet"/>
      <w:lvlText w:val="o"/>
      <w:lvlJc w:val="left"/>
      <w:pPr>
        <w:ind w:left="3600" w:hanging="360"/>
      </w:pPr>
      <w:rPr>
        <w:rFonts w:ascii="Courier New" w:hAnsi="Courier New" w:cs="Times New Roman" w:hint="default"/>
      </w:rPr>
    </w:lvl>
    <w:lvl w:ilvl="5" w:tplc="6B20305E">
      <w:start w:val="1"/>
      <w:numFmt w:val="bullet"/>
      <w:lvlText w:val=""/>
      <w:lvlJc w:val="left"/>
      <w:pPr>
        <w:ind w:left="4320" w:hanging="360"/>
      </w:pPr>
      <w:rPr>
        <w:rFonts w:ascii="Wingdings" w:hAnsi="Wingdings" w:hint="default"/>
      </w:rPr>
    </w:lvl>
    <w:lvl w:ilvl="6" w:tplc="FAEE3B3C">
      <w:start w:val="1"/>
      <w:numFmt w:val="bullet"/>
      <w:lvlText w:val=""/>
      <w:lvlJc w:val="left"/>
      <w:pPr>
        <w:ind w:left="5040" w:hanging="360"/>
      </w:pPr>
      <w:rPr>
        <w:rFonts w:ascii="Symbol" w:hAnsi="Symbol" w:hint="default"/>
      </w:rPr>
    </w:lvl>
    <w:lvl w:ilvl="7" w:tplc="BFE2EC22">
      <w:start w:val="1"/>
      <w:numFmt w:val="bullet"/>
      <w:lvlText w:val="o"/>
      <w:lvlJc w:val="left"/>
      <w:pPr>
        <w:ind w:left="5760" w:hanging="360"/>
      </w:pPr>
      <w:rPr>
        <w:rFonts w:ascii="Courier New" w:hAnsi="Courier New" w:cs="Times New Roman" w:hint="default"/>
      </w:rPr>
    </w:lvl>
    <w:lvl w:ilvl="8" w:tplc="80941290">
      <w:start w:val="1"/>
      <w:numFmt w:val="bullet"/>
      <w:lvlText w:val=""/>
      <w:lvlJc w:val="left"/>
      <w:pPr>
        <w:ind w:left="6480" w:hanging="360"/>
      </w:pPr>
      <w:rPr>
        <w:rFonts w:ascii="Wingdings" w:hAnsi="Wingdings" w:hint="default"/>
      </w:rPr>
    </w:lvl>
  </w:abstractNum>
  <w:abstractNum w:abstractNumId="8" w15:restartNumberingAfterBreak="0">
    <w:nsid w:val="701D524A"/>
    <w:multiLevelType w:val="hybridMultilevel"/>
    <w:tmpl w:val="A69A00A0"/>
    <w:lvl w:ilvl="0" w:tplc="08180001">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9" w15:restartNumberingAfterBreak="0">
    <w:nsid w:val="7CF04437"/>
    <w:multiLevelType w:val="hybridMultilevel"/>
    <w:tmpl w:val="0032D0F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329746507">
    <w:abstractNumId w:val="4"/>
  </w:num>
  <w:num w:numId="2" w16cid:durableId="666633182">
    <w:abstractNumId w:val="1"/>
  </w:num>
  <w:num w:numId="3" w16cid:durableId="1677464483">
    <w:abstractNumId w:val="9"/>
  </w:num>
  <w:num w:numId="4" w16cid:durableId="1623803031">
    <w:abstractNumId w:val="0"/>
  </w:num>
  <w:num w:numId="5" w16cid:durableId="1809592849">
    <w:abstractNumId w:val="8"/>
  </w:num>
  <w:num w:numId="6" w16cid:durableId="1881163654">
    <w:abstractNumId w:val="7"/>
  </w:num>
  <w:num w:numId="7" w16cid:durableId="1089813451">
    <w:abstractNumId w:val="2"/>
  </w:num>
  <w:num w:numId="8" w16cid:durableId="1937396364">
    <w:abstractNumId w:val="3"/>
  </w:num>
  <w:num w:numId="9" w16cid:durableId="1869100330">
    <w:abstractNumId w:val="6"/>
  </w:num>
  <w:num w:numId="10" w16cid:durableId="19669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DB"/>
    <w:rsid w:val="0000579B"/>
    <w:rsid w:val="00007057"/>
    <w:rsid w:val="000101CB"/>
    <w:rsid w:val="00010D29"/>
    <w:rsid w:val="00011089"/>
    <w:rsid w:val="00011564"/>
    <w:rsid w:val="0002227D"/>
    <w:rsid w:val="0002509D"/>
    <w:rsid w:val="0002686B"/>
    <w:rsid w:val="00031994"/>
    <w:rsid w:val="00033924"/>
    <w:rsid w:val="00034886"/>
    <w:rsid w:val="00042303"/>
    <w:rsid w:val="0004682E"/>
    <w:rsid w:val="00055F76"/>
    <w:rsid w:val="00056280"/>
    <w:rsid w:val="00061A13"/>
    <w:rsid w:val="00062A93"/>
    <w:rsid w:val="00065D60"/>
    <w:rsid w:val="00067242"/>
    <w:rsid w:val="000720B8"/>
    <w:rsid w:val="00073075"/>
    <w:rsid w:val="00073534"/>
    <w:rsid w:val="00073A98"/>
    <w:rsid w:val="00073B83"/>
    <w:rsid w:val="00074B4E"/>
    <w:rsid w:val="00077CB9"/>
    <w:rsid w:val="00081CE2"/>
    <w:rsid w:val="000820CC"/>
    <w:rsid w:val="0008476E"/>
    <w:rsid w:val="00093239"/>
    <w:rsid w:val="00095F60"/>
    <w:rsid w:val="000A1E61"/>
    <w:rsid w:val="000A220D"/>
    <w:rsid w:val="000A5EF4"/>
    <w:rsid w:val="000A7FD3"/>
    <w:rsid w:val="000B1179"/>
    <w:rsid w:val="000B1960"/>
    <w:rsid w:val="000B294A"/>
    <w:rsid w:val="000B370F"/>
    <w:rsid w:val="000B3D33"/>
    <w:rsid w:val="000D01E8"/>
    <w:rsid w:val="000D407A"/>
    <w:rsid w:val="000E2D9B"/>
    <w:rsid w:val="000E3E7C"/>
    <w:rsid w:val="000E65F1"/>
    <w:rsid w:val="000F3D21"/>
    <w:rsid w:val="000F49C0"/>
    <w:rsid w:val="000F5CB4"/>
    <w:rsid w:val="000F6C1A"/>
    <w:rsid w:val="000F7524"/>
    <w:rsid w:val="000F7BA2"/>
    <w:rsid w:val="00104E6A"/>
    <w:rsid w:val="0010565D"/>
    <w:rsid w:val="001070EE"/>
    <w:rsid w:val="001136D5"/>
    <w:rsid w:val="0011392E"/>
    <w:rsid w:val="00113C97"/>
    <w:rsid w:val="0011609E"/>
    <w:rsid w:val="00117A22"/>
    <w:rsid w:val="0012090B"/>
    <w:rsid w:val="0012261D"/>
    <w:rsid w:val="00123831"/>
    <w:rsid w:val="00124D3F"/>
    <w:rsid w:val="0012624F"/>
    <w:rsid w:val="00130781"/>
    <w:rsid w:val="001323A1"/>
    <w:rsid w:val="00132AF6"/>
    <w:rsid w:val="00136940"/>
    <w:rsid w:val="00143098"/>
    <w:rsid w:val="00152110"/>
    <w:rsid w:val="001525D4"/>
    <w:rsid w:val="001573EC"/>
    <w:rsid w:val="001579B2"/>
    <w:rsid w:val="00161B15"/>
    <w:rsid w:val="0016461B"/>
    <w:rsid w:val="001722F8"/>
    <w:rsid w:val="0017357A"/>
    <w:rsid w:val="0017381D"/>
    <w:rsid w:val="0017427B"/>
    <w:rsid w:val="00175A55"/>
    <w:rsid w:val="00180248"/>
    <w:rsid w:val="00190EB0"/>
    <w:rsid w:val="00192346"/>
    <w:rsid w:val="00195E62"/>
    <w:rsid w:val="001A2F64"/>
    <w:rsid w:val="001A4805"/>
    <w:rsid w:val="001A58AA"/>
    <w:rsid w:val="001A5AA8"/>
    <w:rsid w:val="001A7131"/>
    <w:rsid w:val="001C26B1"/>
    <w:rsid w:val="001C5DE0"/>
    <w:rsid w:val="001C71B0"/>
    <w:rsid w:val="001D0379"/>
    <w:rsid w:val="001D244F"/>
    <w:rsid w:val="001D649B"/>
    <w:rsid w:val="001E34EE"/>
    <w:rsid w:val="001F0FD6"/>
    <w:rsid w:val="001F33C7"/>
    <w:rsid w:val="001F37A8"/>
    <w:rsid w:val="001F3C54"/>
    <w:rsid w:val="001F3C70"/>
    <w:rsid w:val="001F53C6"/>
    <w:rsid w:val="00201EFF"/>
    <w:rsid w:val="00211939"/>
    <w:rsid w:val="00211D9F"/>
    <w:rsid w:val="002133AB"/>
    <w:rsid w:val="002147DF"/>
    <w:rsid w:val="00223067"/>
    <w:rsid w:val="00223338"/>
    <w:rsid w:val="0022378E"/>
    <w:rsid w:val="0022408D"/>
    <w:rsid w:val="00225D2B"/>
    <w:rsid w:val="002265AA"/>
    <w:rsid w:val="00226B77"/>
    <w:rsid w:val="00227B39"/>
    <w:rsid w:val="00234BAC"/>
    <w:rsid w:val="002368BC"/>
    <w:rsid w:val="00240BD0"/>
    <w:rsid w:val="00242314"/>
    <w:rsid w:val="002431CD"/>
    <w:rsid w:val="00244694"/>
    <w:rsid w:val="00244CA3"/>
    <w:rsid w:val="00244F8B"/>
    <w:rsid w:val="002467AF"/>
    <w:rsid w:val="00246AE6"/>
    <w:rsid w:val="00254CDD"/>
    <w:rsid w:val="00256CA9"/>
    <w:rsid w:val="00256E86"/>
    <w:rsid w:val="00271F7C"/>
    <w:rsid w:val="00281539"/>
    <w:rsid w:val="00281E56"/>
    <w:rsid w:val="0028208B"/>
    <w:rsid w:val="002862FD"/>
    <w:rsid w:val="00286560"/>
    <w:rsid w:val="002873DC"/>
    <w:rsid w:val="002940BB"/>
    <w:rsid w:val="00294872"/>
    <w:rsid w:val="00296865"/>
    <w:rsid w:val="002969E8"/>
    <w:rsid w:val="00297E1E"/>
    <w:rsid w:val="002A4C9B"/>
    <w:rsid w:val="002A631F"/>
    <w:rsid w:val="002B1290"/>
    <w:rsid w:val="002B18F4"/>
    <w:rsid w:val="002C0A72"/>
    <w:rsid w:val="002C2EBE"/>
    <w:rsid w:val="002C2FF1"/>
    <w:rsid w:val="002C6ADD"/>
    <w:rsid w:val="002C79CF"/>
    <w:rsid w:val="002D3DE6"/>
    <w:rsid w:val="002D6E59"/>
    <w:rsid w:val="002D7983"/>
    <w:rsid w:val="002E1738"/>
    <w:rsid w:val="002E18C2"/>
    <w:rsid w:val="002E20B3"/>
    <w:rsid w:val="002E227F"/>
    <w:rsid w:val="002E22B3"/>
    <w:rsid w:val="002E5B6B"/>
    <w:rsid w:val="002F552D"/>
    <w:rsid w:val="002F6574"/>
    <w:rsid w:val="00303250"/>
    <w:rsid w:val="00303998"/>
    <w:rsid w:val="003042F0"/>
    <w:rsid w:val="003146FA"/>
    <w:rsid w:val="003176FD"/>
    <w:rsid w:val="003177C7"/>
    <w:rsid w:val="00317DCC"/>
    <w:rsid w:val="00321096"/>
    <w:rsid w:val="00325619"/>
    <w:rsid w:val="0032696E"/>
    <w:rsid w:val="00327B08"/>
    <w:rsid w:val="00330DC6"/>
    <w:rsid w:val="00337C74"/>
    <w:rsid w:val="0034024B"/>
    <w:rsid w:val="0034180E"/>
    <w:rsid w:val="00344D87"/>
    <w:rsid w:val="00345216"/>
    <w:rsid w:val="00350E59"/>
    <w:rsid w:val="003518A5"/>
    <w:rsid w:val="003525D2"/>
    <w:rsid w:val="00357C6E"/>
    <w:rsid w:val="00362CD4"/>
    <w:rsid w:val="00362CF4"/>
    <w:rsid w:val="003631DA"/>
    <w:rsid w:val="003679C4"/>
    <w:rsid w:val="00370811"/>
    <w:rsid w:val="00371A35"/>
    <w:rsid w:val="00374019"/>
    <w:rsid w:val="00375F1C"/>
    <w:rsid w:val="00375F96"/>
    <w:rsid w:val="00376C7E"/>
    <w:rsid w:val="00380A9F"/>
    <w:rsid w:val="003811AC"/>
    <w:rsid w:val="00393FFD"/>
    <w:rsid w:val="00397210"/>
    <w:rsid w:val="003A6D99"/>
    <w:rsid w:val="003A748F"/>
    <w:rsid w:val="003B129A"/>
    <w:rsid w:val="003B2F27"/>
    <w:rsid w:val="003B5A51"/>
    <w:rsid w:val="003B771A"/>
    <w:rsid w:val="003C09A9"/>
    <w:rsid w:val="003C3B2A"/>
    <w:rsid w:val="003C577A"/>
    <w:rsid w:val="003C628B"/>
    <w:rsid w:val="003D1534"/>
    <w:rsid w:val="003D32AF"/>
    <w:rsid w:val="003D34FB"/>
    <w:rsid w:val="003D3B30"/>
    <w:rsid w:val="003D5143"/>
    <w:rsid w:val="003D5480"/>
    <w:rsid w:val="003D5FD5"/>
    <w:rsid w:val="003F0F5C"/>
    <w:rsid w:val="003F1C3A"/>
    <w:rsid w:val="003F46A6"/>
    <w:rsid w:val="003F730C"/>
    <w:rsid w:val="00400C7F"/>
    <w:rsid w:val="004028EA"/>
    <w:rsid w:val="00405D38"/>
    <w:rsid w:val="0041415A"/>
    <w:rsid w:val="004205A6"/>
    <w:rsid w:val="004237F3"/>
    <w:rsid w:val="00424722"/>
    <w:rsid w:val="004308B6"/>
    <w:rsid w:val="004319E0"/>
    <w:rsid w:val="00431B58"/>
    <w:rsid w:val="00431B95"/>
    <w:rsid w:val="004347F3"/>
    <w:rsid w:val="00437B4E"/>
    <w:rsid w:val="0044203C"/>
    <w:rsid w:val="0044582E"/>
    <w:rsid w:val="00447A98"/>
    <w:rsid w:val="00453005"/>
    <w:rsid w:val="004534C1"/>
    <w:rsid w:val="00455F25"/>
    <w:rsid w:val="004722C8"/>
    <w:rsid w:val="00473F2F"/>
    <w:rsid w:val="0047446C"/>
    <w:rsid w:val="00476413"/>
    <w:rsid w:val="00476783"/>
    <w:rsid w:val="004803BA"/>
    <w:rsid w:val="00482DE6"/>
    <w:rsid w:val="00483A01"/>
    <w:rsid w:val="00484E55"/>
    <w:rsid w:val="00485F00"/>
    <w:rsid w:val="00493113"/>
    <w:rsid w:val="00493D8E"/>
    <w:rsid w:val="00494B45"/>
    <w:rsid w:val="0049776A"/>
    <w:rsid w:val="004A175A"/>
    <w:rsid w:val="004A2CD9"/>
    <w:rsid w:val="004A44BC"/>
    <w:rsid w:val="004A49F7"/>
    <w:rsid w:val="004A4A39"/>
    <w:rsid w:val="004B25B8"/>
    <w:rsid w:val="004B4251"/>
    <w:rsid w:val="004C0C16"/>
    <w:rsid w:val="004C10EC"/>
    <w:rsid w:val="004C1588"/>
    <w:rsid w:val="004C512D"/>
    <w:rsid w:val="004C5E78"/>
    <w:rsid w:val="004D4DFC"/>
    <w:rsid w:val="004D60A3"/>
    <w:rsid w:val="004D65CC"/>
    <w:rsid w:val="004E0468"/>
    <w:rsid w:val="004E1103"/>
    <w:rsid w:val="004E304C"/>
    <w:rsid w:val="004E6566"/>
    <w:rsid w:val="004F0697"/>
    <w:rsid w:val="004F0F6C"/>
    <w:rsid w:val="004F18C6"/>
    <w:rsid w:val="004F5865"/>
    <w:rsid w:val="004F5AB0"/>
    <w:rsid w:val="0050074A"/>
    <w:rsid w:val="00501ED3"/>
    <w:rsid w:val="00521EA4"/>
    <w:rsid w:val="005225E8"/>
    <w:rsid w:val="00522EA7"/>
    <w:rsid w:val="005269CE"/>
    <w:rsid w:val="00526C86"/>
    <w:rsid w:val="00527662"/>
    <w:rsid w:val="005310B4"/>
    <w:rsid w:val="00531EB1"/>
    <w:rsid w:val="00533D56"/>
    <w:rsid w:val="00535681"/>
    <w:rsid w:val="00545900"/>
    <w:rsid w:val="005473B7"/>
    <w:rsid w:val="00551896"/>
    <w:rsid w:val="005518D0"/>
    <w:rsid w:val="005522BF"/>
    <w:rsid w:val="00553674"/>
    <w:rsid w:val="00555865"/>
    <w:rsid w:val="00555D1F"/>
    <w:rsid w:val="0055663A"/>
    <w:rsid w:val="0056010D"/>
    <w:rsid w:val="005608F0"/>
    <w:rsid w:val="00565ADE"/>
    <w:rsid w:val="00567AF7"/>
    <w:rsid w:val="0057208D"/>
    <w:rsid w:val="0057549B"/>
    <w:rsid w:val="005776CD"/>
    <w:rsid w:val="005870B1"/>
    <w:rsid w:val="005928D0"/>
    <w:rsid w:val="00595379"/>
    <w:rsid w:val="00595B37"/>
    <w:rsid w:val="005979D8"/>
    <w:rsid w:val="005A0721"/>
    <w:rsid w:val="005A6D94"/>
    <w:rsid w:val="005B243A"/>
    <w:rsid w:val="005B403D"/>
    <w:rsid w:val="005B7B24"/>
    <w:rsid w:val="005C216B"/>
    <w:rsid w:val="005C3545"/>
    <w:rsid w:val="005C3689"/>
    <w:rsid w:val="005C47D4"/>
    <w:rsid w:val="005C692F"/>
    <w:rsid w:val="005C6FE5"/>
    <w:rsid w:val="005C7217"/>
    <w:rsid w:val="005D4484"/>
    <w:rsid w:val="005D6E93"/>
    <w:rsid w:val="005D717A"/>
    <w:rsid w:val="005E5295"/>
    <w:rsid w:val="005E54F8"/>
    <w:rsid w:val="005F0F20"/>
    <w:rsid w:val="005F3C98"/>
    <w:rsid w:val="005F400E"/>
    <w:rsid w:val="005F5916"/>
    <w:rsid w:val="00601AE6"/>
    <w:rsid w:val="006067CE"/>
    <w:rsid w:val="00606A53"/>
    <w:rsid w:val="00610991"/>
    <w:rsid w:val="00615DF2"/>
    <w:rsid w:val="006160E3"/>
    <w:rsid w:val="006255AB"/>
    <w:rsid w:val="00627E43"/>
    <w:rsid w:val="0063458E"/>
    <w:rsid w:val="00634C24"/>
    <w:rsid w:val="006365D6"/>
    <w:rsid w:val="00641663"/>
    <w:rsid w:val="0064373A"/>
    <w:rsid w:val="006455E9"/>
    <w:rsid w:val="00645B20"/>
    <w:rsid w:val="0065216E"/>
    <w:rsid w:val="006526DB"/>
    <w:rsid w:val="00652EE3"/>
    <w:rsid w:val="00652FDB"/>
    <w:rsid w:val="0065354F"/>
    <w:rsid w:val="0065364F"/>
    <w:rsid w:val="00653BF3"/>
    <w:rsid w:val="00660619"/>
    <w:rsid w:val="00663DF5"/>
    <w:rsid w:val="006703B8"/>
    <w:rsid w:val="006766CE"/>
    <w:rsid w:val="00677E08"/>
    <w:rsid w:val="00681464"/>
    <w:rsid w:val="006824F6"/>
    <w:rsid w:val="00684166"/>
    <w:rsid w:val="006909FA"/>
    <w:rsid w:val="00694146"/>
    <w:rsid w:val="00695772"/>
    <w:rsid w:val="00695BF6"/>
    <w:rsid w:val="00696FC1"/>
    <w:rsid w:val="006A2570"/>
    <w:rsid w:val="006A37F8"/>
    <w:rsid w:val="006A4167"/>
    <w:rsid w:val="006B47EB"/>
    <w:rsid w:val="006B558B"/>
    <w:rsid w:val="006B69D9"/>
    <w:rsid w:val="006B78D9"/>
    <w:rsid w:val="006C1093"/>
    <w:rsid w:val="006D1683"/>
    <w:rsid w:val="006D3C0D"/>
    <w:rsid w:val="006D4D8F"/>
    <w:rsid w:val="006D640D"/>
    <w:rsid w:val="006E3F72"/>
    <w:rsid w:val="006E757E"/>
    <w:rsid w:val="006E7D3D"/>
    <w:rsid w:val="006F07B3"/>
    <w:rsid w:val="006F3690"/>
    <w:rsid w:val="006F5B8B"/>
    <w:rsid w:val="006F6037"/>
    <w:rsid w:val="006F6A37"/>
    <w:rsid w:val="006F6F5E"/>
    <w:rsid w:val="006F7A25"/>
    <w:rsid w:val="00702A84"/>
    <w:rsid w:val="00707016"/>
    <w:rsid w:val="007107BF"/>
    <w:rsid w:val="007136EE"/>
    <w:rsid w:val="00715032"/>
    <w:rsid w:val="00715FB0"/>
    <w:rsid w:val="00716363"/>
    <w:rsid w:val="00722DB1"/>
    <w:rsid w:val="007230C3"/>
    <w:rsid w:val="007231C1"/>
    <w:rsid w:val="007244E9"/>
    <w:rsid w:val="00726621"/>
    <w:rsid w:val="00726636"/>
    <w:rsid w:val="00731D38"/>
    <w:rsid w:val="00732605"/>
    <w:rsid w:val="00732FE5"/>
    <w:rsid w:val="00737E43"/>
    <w:rsid w:val="007428F0"/>
    <w:rsid w:val="00745676"/>
    <w:rsid w:val="0074797F"/>
    <w:rsid w:val="00747F85"/>
    <w:rsid w:val="007515E2"/>
    <w:rsid w:val="007602C8"/>
    <w:rsid w:val="007634BA"/>
    <w:rsid w:val="00764204"/>
    <w:rsid w:val="00764989"/>
    <w:rsid w:val="00767996"/>
    <w:rsid w:val="00770547"/>
    <w:rsid w:val="00774920"/>
    <w:rsid w:val="00774F12"/>
    <w:rsid w:val="00784692"/>
    <w:rsid w:val="0079210B"/>
    <w:rsid w:val="007936E6"/>
    <w:rsid w:val="0079489E"/>
    <w:rsid w:val="00795A20"/>
    <w:rsid w:val="00795C3B"/>
    <w:rsid w:val="00797A81"/>
    <w:rsid w:val="007A1C98"/>
    <w:rsid w:val="007C1F2C"/>
    <w:rsid w:val="007C2BCD"/>
    <w:rsid w:val="007C32EE"/>
    <w:rsid w:val="007C5AAD"/>
    <w:rsid w:val="007D1A0D"/>
    <w:rsid w:val="007D3371"/>
    <w:rsid w:val="007E0AEA"/>
    <w:rsid w:val="007E0FD8"/>
    <w:rsid w:val="007E642A"/>
    <w:rsid w:val="007E7781"/>
    <w:rsid w:val="007F01FF"/>
    <w:rsid w:val="007F0E89"/>
    <w:rsid w:val="007F3EF1"/>
    <w:rsid w:val="007F4FAA"/>
    <w:rsid w:val="007F5F33"/>
    <w:rsid w:val="007F7EC9"/>
    <w:rsid w:val="0080048B"/>
    <w:rsid w:val="00803C82"/>
    <w:rsid w:val="008146D0"/>
    <w:rsid w:val="008161FF"/>
    <w:rsid w:val="00816D70"/>
    <w:rsid w:val="00817E06"/>
    <w:rsid w:val="0082080B"/>
    <w:rsid w:val="00822912"/>
    <w:rsid w:val="00824406"/>
    <w:rsid w:val="00826F88"/>
    <w:rsid w:val="008301A5"/>
    <w:rsid w:val="008308E7"/>
    <w:rsid w:val="00831A82"/>
    <w:rsid w:val="008321B1"/>
    <w:rsid w:val="00832F06"/>
    <w:rsid w:val="008343CE"/>
    <w:rsid w:val="00840BE6"/>
    <w:rsid w:val="00840E08"/>
    <w:rsid w:val="0084514D"/>
    <w:rsid w:val="00846F73"/>
    <w:rsid w:val="0085059C"/>
    <w:rsid w:val="00860A91"/>
    <w:rsid w:val="0086465C"/>
    <w:rsid w:val="008662F6"/>
    <w:rsid w:val="0087025B"/>
    <w:rsid w:val="008703D5"/>
    <w:rsid w:val="00870B9F"/>
    <w:rsid w:val="008713ED"/>
    <w:rsid w:val="00872EC1"/>
    <w:rsid w:val="00874BF8"/>
    <w:rsid w:val="008753F5"/>
    <w:rsid w:val="0087635D"/>
    <w:rsid w:val="00882EBD"/>
    <w:rsid w:val="008839B7"/>
    <w:rsid w:val="00884F9F"/>
    <w:rsid w:val="00885F6A"/>
    <w:rsid w:val="008901F1"/>
    <w:rsid w:val="00891093"/>
    <w:rsid w:val="00893E67"/>
    <w:rsid w:val="00894DC5"/>
    <w:rsid w:val="008A215B"/>
    <w:rsid w:val="008A58DC"/>
    <w:rsid w:val="008A5C2F"/>
    <w:rsid w:val="008B233A"/>
    <w:rsid w:val="008B2405"/>
    <w:rsid w:val="008B595E"/>
    <w:rsid w:val="008C129F"/>
    <w:rsid w:val="008C17F6"/>
    <w:rsid w:val="008C1FF6"/>
    <w:rsid w:val="008D4AAA"/>
    <w:rsid w:val="008D4D0C"/>
    <w:rsid w:val="008D53DD"/>
    <w:rsid w:val="008D55D1"/>
    <w:rsid w:val="008D73E6"/>
    <w:rsid w:val="008E07FA"/>
    <w:rsid w:val="008E4D83"/>
    <w:rsid w:val="008F375D"/>
    <w:rsid w:val="008F4D5B"/>
    <w:rsid w:val="008F7297"/>
    <w:rsid w:val="008F7788"/>
    <w:rsid w:val="00900BF0"/>
    <w:rsid w:val="00901176"/>
    <w:rsid w:val="00902BEE"/>
    <w:rsid w:val="009064E0"/>
    <w:rsid w:val="009110A8"/>
    <w:rsid w:val="0091121C"/>
    <w:rsid w:val="009128A2"/>
    <w:rsid w:val="0091652D"/>
    <w:rsid w:val="00917DF7"/>
    <w:rsid w:val="009200BB"/>
    <w:rsid w:val="00923732"/>
    <w:rsid w:val="00926878"/>
    <w:rsid w:val="0093015B"/>
    <w:rsid w:val="009326F2"/>
    <w:rsid w:val="009337E4"/>
    <w:rsid w:val="00935003"/>
    <w:rsid w:val="00935903"/>
    <w:rsid w:val="00937FDA"/>
    <w:rsid w:val="0094078F"/>
    <w:rsid w:val="00942E24"/>
    <w:rsid w:val="009432D5"/>
    <w:rsid w:val="009446BC"/>
    <w:rsid w:val="0094630E"/>
    <w:rsid w:val="009464D9"/>
    <w:rsid w:val="00947038"/>
    <w:rsid w:val="00947A45"/>
    <w:rsid w:val="00952FEF"/>
    <w:rsid w:val="009546C4"/>
    <w:rsid w:val="009578C0"/>
    <w:rsid w:val="0096015A"/>
    <w:rsid w:val="00960865"/>
    <w:rsid w:val="00963DFE"/>
    <w:rsid w:val="00963E94"/>
    <w:rsid w:val="00964689"/>
    <w:rsid w:val="0096772E"/>
    <w:rsid w:val="00973627"/>
    <w:rsid w:val="00981FD3"/>
    <w:rsid w:val="00995F17"/>
    <w:rsid w:val="00996F0D"/>
    <w:rsid w:val="009A2182"/>
    <w:rsid w:val="009A2D4A"/>
    <w:rsid w:val="009A30BA"/>
    <w:rsid w:val="009A3975"/>
    <w:rsid w:val="009A76A1"/>
    <w:rsid w:val="009A773C"/>
    <w:rsid w:val="009B7706"/>
    <w:rsid w:val="009C2D41"/>
    <w:rsid w:val="009C3CB2"/>
    <w:rsid w:val="009C5E29"/>
    <w:rsid w:val="009D0749"/>
    <w:rsid w:val="009D1C4B"/>
    <w:rsid w:val="009D244D"/>
    <w:rsid w:val="009D3508"/>
    <w:rsid w:val="009D3E59"/>
    <w:rsid w:val="009D4BA8"/>
    <w:rsid w:val="009D64EA"/>
    <w:rsid w:val="009D6714"/>
    <w:rsid w:val="009E1714"/>
    <w:rsid w:val="009E1D19"/>
    <w:rsid w:val="009E629D"/>
    <w:rsid w:val="009F472D"/>
    <w:rsid w:val="00A024A8"/>
    <w:rsid w:val="00A10BE4"/>
    <w:rsid w:val="00A13F07"/>
    <w:rsid w:val="00A17509"/>
    <w:rsid w:val="00A24080"/>
    <w:rsid w:val="00A24F91"/>
    <w:rsid w:val="00A2637F"/>
    <w:rsid w:val="00A27229"/>
    <w:rsid w:val="00A27DD5"/>
    <w:rsid w:val="00A36884"/>
    <w:rsid w:val="00A40CB6"/>
    <w:rsid w:val="00A434AE"/>
    <w:rsid w:val="00A47D3E"/>
    <w:rsid w:val="00A50188"/>
    <w:rsid w:val="00A54A55"/>
    <w:rsid w:val="00A55D0A"/>
    <w:rsid w:val="00A5677D"/>
    <w:rsid w:val="00A57459"/>
    <w:rsid w:val="00A57B30"/>
    <w:rsid w:val="00A61EAE"/>
    <w:rsid w:val="00A62529"/>
    <w:rsid w:val="00A647C9"/>
    <w:rsid w:val="00A64DD7"/>
    <w:rsid w:val="00A6563E"/>
    <w:rsid w:val="00A656A2"/>
    <w:rsid w:val="00A736B2"/>
    <w:rsid w:val="00A7374F"/>
    <w:rsid w:val="00A754B2"/>
    <w:rsid w:val="00A82155"/>
    <w:rsid w:val="00A84A58"/>
    <w:rsid w:val="00A85DF7"/>
    <w:rsid w:val="00A91658"/>
    <w:rsid w:val="00A91E16"/>
    <w:rsid w:val="00A9504E"/>
    <w:rsid w:val="00AA18A3"/>
    <w:rsid w:val="00AA273C"/>
    <w:rsid w:val="00AA3F0D"/>
    <w:rsid w:val="00AA3FE6"/>
    <w:rsid w:val="00AB3A4B"/>
    <w:rsid w:val="00AB601C"/>
    <w:rsid w:val="00AB6536"/>
    <w:rsid w:val="00AC029B"/>
    <w:rsid w:val="00AC080D"/>
    <w:rsid w:val="00AC366F"/>
    <w:rsid w:val="00AC3C32"/>
    <w:rsid w:val="00AC3E3D"/>
    <w:rsid w:val="00AC4BDD"/>
    <w:rsid w:val="00AD2FD5"/>
    <w:rsid w:val="00AD5A22"/>
    <w:rsid w:val="00AF080D"/>
    <w:rsid w:val="00AF54D1"/>
    <w:rsid w:val="00B043F6"/>
    <w:rsid w:val="00B1061B"/>
    <w:rsid w:val="00B10D55"/>
    <w:rsid w:val="00B12E1D"/>
    <w:rsid w:val="00B2020B"/>
    <w:rsid w:val="00B22FCA"/>
    <w:rsid w:val="00B24920"/>
    <w:rsid w:val="00B276CC"/>
    <w:rsid w:val="00B355E2"/>
    <w:rsid w:val="00B41020"/>
    <w:rsid w:val="00B51C7E"/>
    <w:rsid w:val="00B53569"/>
    <w:rsid w:val="00B5463E"/>
    <w:rsid w:val="00B54BA8"/>
    <w:rsid w:val="00B56745"/>
    <w:rsid w:val="00B56759"/>
    <w:rsid w:val="00B6579E"/>
    <w:rsid w:val="00B6591B"/>
    <w:rsid w:val="00B65ABB"/>
    <w:rsid w:val="00B67467"/>
    <w:rsid w:val="00B70036"/>
    <w:rsid w:val="00B756E3"/>
    <w:rsid w:val="00B77090"/>
    <w:rsid w:val="00B863EB"/>
    <w:rsid w:val="00B86AA8"/>
    <w:rsid w:val="00B9482B"/>
    <w:rsid w:val="00B95A13"/>
    <w:rsid w:val="00BA1903"/>
    <w:rsid w:val="00BA4120"/>
    <w:rsid w:val="00BA6C6F"/>
    <w:rsid w:val="00BA7AE5"/>
    <w:rsid w:val="00BB1366"/>
    <w:rsid w:val="00BB26D8"/>
    <w:rsid w:val="00BB39B0"/>
    <w:rsid w:val="00BC08FD"/>
    <w:rsid w:val="00BC3D3D"/>
    <w:rsid w:val="00BC67BD"/>
    <w:rsid w:val="00BD0E93"/>
    <w:rsid w:val="00BD16D6"/>
    <w:rsid w:val="00BD23DB"/>
    <w:rsid w:val="00BD6482"/>
    <w:rsid w:val="00BD686E"/>
    <w:rsid w:val="00BE230C"/>
    <w:rsid w:val="00BE4EDD"/>
    <w:rsid w:val="00BE6A5E"/>
    <w:rsid w:val="00BF4164"/>
    <w:rsid w:val="00BF6AE9"/>
    <w:rsid w:val="00BF6B66"/>
    <w:rsid w:val="00C0245F"/>
    <w:rsid w:val="00C02479"/>
    <w:rsid w:val="00C0538A"/>
    <w:rsid w:val="00C05DD4"/>
    <w:rsid w:val="00C105AA"/>
    <w:rsid w:val="00C10E93"/>
    <w:rsid w:val="00C1133E"/>
    <w:rsid w:val="00C147B6"/>
    <w:rsid w:val="00C14844"/>
    <w:rsid w:val="00C17531"/>
    <w:rsid w:val="00C245D6"/>
    <w:rsid w:val="00C26C71"/>
    <w:rsid w:val="00C33526"/>
    <w:rsid w:val="00C35557"/>
    <w:rsid w:val="00C361DD"/>
    <w:rsid w:val="00C363A3"/>
    <w:rsid w:val="00C439C4"/>
    <w:rsid w:val="00C452B2"/>
    <w:rsid w:val="00C456CF"/>
    <w:rsid w:val="00C4699E"/>
    <w:rsid w:val="00C47796"/>
    <w:rsid w:val="00C53A30"/>
    <w:rsid w:val="00C53B14"/>
    <w:rsid w:val="00C5675D"/>
    <w:rsid w:val="00C5688F"/>
    <w:rsid w:val="00C600ED"/>
    <w:rsid w:val="00C63BBF"/>
    <w:rsid w:val="00C65318"/>
    <w:rsid w:val="00C70C5D"/>
    <w:rsid w:val="00C72C18"/>
    <w:rsid w:val="00C75237"/>
    <w:rsid w:val="00C75BB3"/>
    <w:rsid w:val="00C77116"/>
    <w:rsid w:val="00C8016C"/>
    <w:rsid w:val="00C8230B"/>
    <w:rsid w:val="00C84AAB"/>
    <w:rsid w:val="00C850FD"/>
    <w:rsid w:val="00C854CC"/>
    <w:rsid w:val="00C907F3"/>
    <w:rsid w:val="00C91A84"/>
    <w:rsid w:val="00C95B2F"/>
    <w:rsid w:val="00C97260"/>
    <w:rsid w:val="00CA0C42"/>
    <w:rsid w:val="00CA1E6F"/>
    <w:rsid w:val="00CA4E19"/>
    <w:rsid w:val="00CB34E2"/>
    <w:rsid w:val="00CB6984"/>
    <w:rsid w:val="00CB6AE1"/>
    <w:rsid w:val="00CC3FBB"/>
    <w:rsid w:val="00CC5385"/>
    <w:rsid w:val="00CC6A87"/>
    <w:rsid w:val="00CD4E97"/>
    <w:rsid w:val="00CD5D42"/>
    <w:rsid w:val="00CD7C49"/>
    <w:rsid w:val="00CE0263"/>
    <w:rsid w:val="00CF3A59"/>
    <w:rsid w:val="00CF46AC"/>
    <w:rsid w:val="00CF5A48"/>
    <w:rsid w:val="00D01D9F"/>
    <w:rsid w:val="00D01DDA"/>
    <w:rsid w:val="00D04C25"/>
    <w:rsid w:val="00D073FC"/>
    <w:rsid w:val="00D120F5"/>
    <w:rsid w:val="00D13669"/>
    <w:rsid w:val="00D14A00"/>
    <w:rsid w:val="00D164D0"/>
    <w:rsid w:val="00D21C96"/>
    <w:rsid w:val="00D22B0E"/>
    <w:rsid w:val="00D33438"/>
    <w:rsid w:val="00D402A3"/>
    <w:rsid w:val="00D479A0"/>
    <w:rsid w:val="00D55523"/>
    <w:rsid w:val="00D56B02"/>
    <w:rsid w:val="00D57510"/>
    <w:rsid w:val="00D602CA"/>
    <w:rsid w:val="00D60829"/>
    <w:rsid w:val="00D61DB7"/>
    <w:rsid w:val="00D638BD"/>
    <w:rsid w:val="00D660B6"/>
    <w:rsid w:val="00D70059"/>
    <w:rsid w:val="00D714F7"/>
    <w:rsid w:val="00D74E87"/>
    <w:rsid w:val="00D825B8"/>
    <w:rsid w:val="00D85EE0"/>
    <w:rsid w:val="00D96A55"/>
    <w:rsid w:val="00D96E92"/>
    <w:rsid w:val="00D97DF3"/>
    <w:rsid w:val="00DA43BD"/>
    <w:rsid w:val="00DA642B"/>
    <w:rsid w:val="00DB0068"/>
    <w:rsid w:val="00DB133B"/>
    <w:rsid w:val="00DB1D15"/>
    <w:rsid w:val="00DB436D"/>
    <w:rsid w:val="00DD37D7"/>
    <w:rsid w:val="00DD468E"/>
    <w:rsid w:val="00DD7834"/>
    <w:rsid w:val="00DE22D9"/>
    <w:rsid w:val="00DE5BA3"/>
    <w:rsid w:val="00DE60B7"/>
    <w:rsid w:val="00DE7704"/>
    <w:rsid w:val="00DF660C"/>
    <w:rsid w:val="00E00B42"/>
    <w:rsid w:val="00E04B1E"/>
    <w:rsid w:val="00E0518B"/>
    <w:rsid w:val="00E05BB6"/>
    <w:rsid w:val="00E1119C"/>
    <w:rsid w:val="00E11CE4"/>
    <w:rsid w:val="00E16895"/>
    <w:rsid w:val="00E175EA"/>
    <w:rsid w:val="00E17876"/>
    <w:rsid w:val="00E20088"/>
    <w:rsid w:val="00E21087"/>
    <w:rsid w:val="00E2762F"/>
    <w:rsid w:val="00E311FD"/>
    <w:rsid w:val="00E354E8"/>
    <w:rsid w:val="00E415F8"/>
    <w:rsid w:val="00E4186E"/>
    <w:rsid w:val="00E441FA"/>
    <w:rsid w:val="00E4779F"/>
    <w:rsid w:val="00E54EDA"/>
    <w:rsid w:val="00E54F18"/>
    <w:rsid w:val="00E60562"/>
    <w:rsid w:val="00E618D2"/>
    <w:rsid w:val="00E627AF"/>
    <w:rsid w:val="00E635A0"/>
    <w:rsid w:val="00E644B1"/>
    <w:rsid w:val="00E64A6A"/>
    <w:rsid w:val="00E653E7"/>
    <w:rsid w:val="00E671F6"/>
    <w:rsid w:val="00E8325F"/>
    <w:rsid w:val="00EA076A"/>
    <w:rsid w:val="00EA09E7"/>
    <w:rsid w:val="00EA0AD7"/>
    <w:rsid w:val="00EA2E8C"/>
    <w:rsid w:val="00EA3676"/>
    <w:rsid w:val="00EA4FFC"/>
    <w:rsid w:val="00EA5750"/>
    <w:rsid w:val="00EB123A"/>
    <w:rsid w:val="00EB1A2E"/>
    <w:rsid w:val="00EC0C9E"/>
    <w:rsid w:val="00EC669A"/>
    <w:rsid w:val="00EC67A4"/>
    <w:rsid w:val="00ED29A0"/>
    <w:rsid w:val="00ED3BD0"/>
    <w:rsid w:val="00EE090B"/>
    <w:rsid w:val="00EE6192"/>
    <w:rsid w:val="00EE6234"/>
    <w:rsid w:val="00EE7DB0"/>
    <w:rsid w:val="00EF2209"/>
    <w:rsid w:val="00EF3CB2"/>
    <w:rsid w:val="00F00B98"/>
    <w:rsid w:val="00F03BCD"/>
    <w:rsid w:val="00F07656"/>
    <w:rsid w:val="00F136BB"/>
    <w:rsid w:val="00F17C87"/>
    <w:rsid w:val="00F23D75"/>
    <w:rsid w:val="00F270C3"/>
    <w:rsid w:val="00F30767"/>
    <w:rsid w:val="00F30DD0"/>
    <w:rsid w:val="00F355FC"/>
    <w:rsid w:val="00F40D45"/>
    <w:rsid w:val="00F42BEB"/>
    <w:rsid w:val="00F445EB"/>
    <w:rsid w:val="00F466E1"/>
    <w:rsid w:val="00F50E8E"/>
    <w:rsid w:val="00F513EA"/>
    <w:rsid w:val="00F53962"/>
    <w:rsid w:val="00F57258"/>
    <w:rsid w:val="00F77201"/>
    <w:rsid w:val="00F80B71"/>
    <w:rsid w:val="00F8175D"/>
    <w:rsid w:val="00F83FD3"/>
    <w:rsid w:val="00F859E2"/>
    <w:rsid w:val="00F9047C"/>
    <w:rsid w:val="00F91405"/>
    <w:rsid w:val="00F93220"/>
    <w:rsid w:val="00F9444F"/>
    <w:rsid w:val="00F9578B"/>
    <w:rsid w:val="00F958AD"/>
    <w:rsid w:val="00FA25CE"/>
    <w:rsid w:val="00FA2846"/>
    <w:rsid w:val="00FA2C64"/>
    <w:rsid w:val="00FA35EF"/>
    <w:rsid w:val="00FA3FAB"/>
    <w:rsid w:val="00FA5968"/>
    <w:rsid w:val="00FA6067"/>
    <w:rsid w:val="00FB518F"/>
    <w:rsid w:val="00FB5837"/>
    <w:rsid w:val="00FB66EB"/>
    <w:rsid w:val="00FC5BA4"/>
    <w:rsid w:val="00FD73BA"/>
    <w:rsid w:val="00FE1F87"/>
    <w:rsid w:val="00FE51E6"/>
    <w:rsid w:val="00FE72C3"/>
    <w:rsid w:val="00FF437F"/>
    <w:rsid w:val="00FF5A31"/>
    <w:rsid w:val="00FF6D3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05D01"/>
  <w15:docId w15:val="{88B879FD-ABC9-463E-9972-BBFE1161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4E2"/>
    <w:pPr>
      <w:spacing w:after="0" w:line="240" w:lineRule="auto"/>
    </w:pPr>
    <w:rPr>
      <w:rFonts w:ascii="Times New Roman" w:eastAsia="Times New Roman" w:hAnsi="Times New Roman" w:cs="Times New Roman"/>
      <w:kern w:val="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a CUADROS"/>
    <w:basedOn w:val="TableNormal"/>
    <w:uiPriority w:val="59"/>
    <w:rsid w:val="00707016"/>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07016"/>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707016"/>
    <w:rPr>
      <w:rFonts w:ascii="Times New Roman" w:eastAsia="Times New Roman" w:hAnsi="Times New Roman" w:cs="Times New Roman"/>
      <w:kern w:val="0"/>
      <w:sz w:val="28"/>
      <w:szCs w:val="28"/>
      <w:lang w:val="ru-RU"/>
    </w:rPr>
  </w:style>
  <w:style w:type="paragraph" w:styleId="ListParagraph">
    <w:name w:val="List Paragraph"/>
    <w:basedOn w:val="Normal"/>
    <w:uiPriority w:val="34"/>
    <w:qFormat/>
    <w:rsid w:val="00707016"/>
    <w:pPr>
      <w:ind w:left="720"/>
      <w:contextualSpacing/>
    </w:pPr>
  </w:style>
  <w:style w:type="paragraph" w:styleId="PlainText">
    <w:name w:val="Plain Text"/>
    <w:basedOn w:val="Normal"/>
    <w:link w:val="PlainTextChar"/>
    <w:rsid w:val="00707016"/>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707016"/>
    <w:rPr>
      <w:rFonts w:ascii="Courier New" w:eastAsia="Times New Roman" w:hAnsi="Courier New" w:cs="Courier New"/>
      <w:kern w:val="0"/>
      <w:sz w:val="20"/>
      <w:szCs w:val="20"/>
      <w:lang w:val="en-US"/>
    </w:rPr>
  </w:style>
  <w:style w:type="paragraph" w:styleId="Header">
    <w:name w:val="header"/>
    <w:basedOn w:val="Normal"/>
    <w:link w:val="HeaderChar"/>
    <w:uiPriority w:val="99"/>
    <w:unhideWhenUsed/>
    <w:rsid w:val="00EA4FFC"/>
    <w:pPr>
      <w:tabs>
        <w:tab w:val="center" w:pos="4677"/>
        <w:tab w:val="right" w:pos="9355"/>
      </w:tabs>
    </w:pPr>
  </w:style>
  <w:style w:type="character" w:customStyle="1" w:styleId="HeaderChar">
    <w:name w:val="Header Char"/>
    <w:basedOn w:val="DefaultParagraphFont"/>
    <w:link w:val="Header"/>
    <w:uiPriority w:val="99"/>
    <w:rsid w:val="00EA4FFC"/>
    <w:rPr>
      <w:rFonts w:ascii="Times New Roman" w:eastAsia="Times New Roman" w:hAnsi="Times New Roman" w:cs="Times New Roman"/>
      <w:kern w:val="0"/>
      <w:sz w:val="24"/>
      <w:szCs w:val="24"/>
      <w:lang w:val="ru-RU" w:eastAsia="ru-RU"/>
    </w:rPr>
  </w:style>
  <w:style w:type="paragraph" w:styleId="Footer">
    <w:name w:val="footer"/>
    <w:basedOn w:val="Normal"/>
    <w:link w:val="FooterChar"/>
    <w:uiPriority w:val="99"/>
    <w:unhideWhenUsed/>
    <w:rsid w:val="00EA4FFC"/>
    <w:pPr>
      <w:tabs>
        <w:tab w:val="center" w:pos="4677"/>
        <w:tab w:val="right" w:pos="9355"/>
      </w:tabs>
    </w:pPr>
  </w:style>
  <w:style w:type="character" w:customStyle="1" w:styleId="FooterChar">
    <w:name w:val="Footer Char"/>
    <w:basedOn w:val="DefaultParagraphFont"/>
    <w:link w:val="Footer"/>
    <w:uiPriority w:val="99"/>
    <w:rsid w:val="00EA4FFC"/>
    <w:rPr>
      <w:rFonts w:ascii="Times New Roman" w:eastAsia="Times New Roman" w:hAnsi="Times New Roman" w:cs="Times New Roman"/>
      <w:kern w:val="0"/>
      <w:sz w:val="24"/>
      <w:szCs w:val="24"/>
      <w:lang w:val="ru-RU" w:eastAsia="ru-RU"/>
    </w:rPr>
  </w:style>
  <w:style w:type="paragraph" w:styleId="Revision">
    <w:name w:val="Revision"/>
    <w:hidden/>
    <w:uiPriority w:val="99"/>
    <w:semiHidden/>
    <w:rsid w:val="004F18C6"/>
    <w:pPr>
      <w:spacing w:after="0" w:line="240" w:lineRule="auto"/>
    </w:pPr>
    <w:rPr>
      <w:rFonts w:ascii="Times New Roman" w:eastAsia="Times New Roman" w:hAnsi="Times New Roman" w:cs="Times New Roman"/>
      <w:kern w:val="0"/>
      <w:sz w:val="24"/>
      <w:szCs w:val="24"/>
      <w:lang w:val="ru-RU" w:eastAsia="ru-RU"/>
    </w:rPr>
  </w:style>
  <w:style w:type="character" w:styleId="CommentReference">
    <w:name w:val="annotation reference"/>
    <w:basedOn w:val="DefaultParagraphFont"/>
    <w:uiPriority w:val="99"/>
    <w:semiHidden/>
    <w:unhideWhenUsed/>
    <w:rsid w:val="00795A20"/>
    <w:rPr>
      <w:sz w:val="16"/>
      <w:szCs w:val="16"/>
    </w:rPr>
  </w:style>
  <w:style w:type="paragraph" w:styleId="CommentText">
    <w:name w:val="annotation text"/>
    <w:basedOn w:val="Normal"/>
    <w:link w:val="CommentTextChar"/>
    <w:uiPriority w:val="99"/>
    <w:unhideWhenUsed/>
    <w:rsid w:val="00795A20"/>
    <w:rPr>
      <w:sz w:val="20"/>
      <w:szCs w:val="20"/>
    </w:rPr>
  </w:style>
  <w:style w:type="character" w:customStyle="1" w:styleId="CommentTextChar">
    <w:name w:val="Comment Text Char"/>
    <w:basedOn w:val="DefaultParagraphFont"/>
    <w:link w:val="CommentText"/>
    <w:uiPriority w:val="99"/>
    <w:rsid w:val="00795A20"/>
    <w:rPr>
      <w:rFonts w:ascii="Times New Roman" w:eastAsia="Times New Roman" w:hAnsi="Times New Roman" w:cs="Times New Roman"/>
      <w:kern w:val="0"/>
      <w:sz w:val="20"/>
      <w:szCs w:val="20"/>
      <w:lang w:val="ru-RU" w:eastAsia="ru-RU"/>
    </w:rPr>
  </w:style>
  <w:style w:type="paragraph" w:styleId="CommentSubject">
    <w:name w:val="annotation subject"/>
    <w:basedOn w:val="CommentText"/>
    <w:next w:val="CommentText"/>
    <w:link w:val="CommentSubjectChar"/>
    <w:uiPriority w:val="99"/>
    <w:semiHidden/>
    <w:unhideWhenUsed/>
    <w:rsid w:val="00795A20"/>
    <w:rPr>
      <w:b/>
      <w:bCs/>
    </w:rPr>
  </w:style>
  <w:style w:type="character" w:customStyle="1" w:styleId="CommentSubjectChar">
    <w:name w:val="Comment Subject Char"/>
    <w:basedOn w:val="CommentTextChar"/>
    <w:link w:val="CommentSubject"/>
    <w:uiPriority w:val="99"/>
    <w:semiHidden/>
    <w:rsid w:val="00795A20"/>
    <w:rPr>
      <w:rFonts w:ascii="Times New Roman" w:eastAsia="Times New Roman" w:hAnsi="Times New Roman" w:cs="Times New Roman"/>
      <w:b/>
      <w:bCs/>
      <w:kern w:val="0"/>
      <w:sz w:val="20"/>
      <w:szCs w:val="20"/>
      <w:lang w:val="ru-RU" w:eastAsia="ru-RU"/>
    </w:rPr>
  </w:style>
  <w:style w:type="character" w:customStyle="1" w:styleId="InstructionsTabelleberschrift">
    <w:name w:val="Instructions Tabelle Überschrift"/>
    <w:qFormat/>
    <w:rsid w:val="00EA09E7"/>
    <w:rPr>
      <w:rFonts w:ascii="Verdana" w:hAnsi="Verdana" w:cs="Times New Roman"/>
      <w:b/>
      <w:bCs/>
      <w:sz w:val="20"/>
      <w:u w:val="single"/>
    </w:rPr>
  </w:style>
  <w:style w:type="character" w:customStyle="1" w:styleId="InstructionsTabelleText">
    <w:name w:val="Instructions Tabelle Text"/>
    <w:rsid w:val="00EA09E7"/>
    <w:rPr>
      <w:rFonts w:ascii="Verdana" w:hAnsi="Verdana" w:cs="Times New Roman"/>
      <w:sz w:val="20"/>
    </w:rPr>
  </w:style>
  <w:style w:type="character" w:styleId="Hyperlink">
    <w:name w:val="Hyperlink"/>
    <w:basedOn w:val="DefaultParagraphFont"/>
    <w:uiPriority w:val="99"/>
    <w:unhideWhenUsed/>
    <w:rsid w:val="0002686B"/>
    <w:rPr>
      <w:color w:val="0563C1" w:themeColor="hyperlink"/>
      <w:u w:val="single"/>
    </w:rPr>
  </w:style>
  <w:style w:type="character" w:customStyle="1" w:styleId="FormatvorlageInstructionsTabelleText">
    <w:name w:val="Formatvorlage Instructions Tabelle Text"/>
    <w:uiPriority w:val="99"/>
    <w:qFormat/>
    <w:rsid w:val="00EC0C9E"/>
    <w:rPr>
      <w:rFonts w:ascii="Verdana" w:hAnsi="Verdana" w:cs="Times New Roman"/>
      <w:bCs/>
      <w:sz w:val="20"/>
      <w:u w:val="none"/>
    </w:rPr>
  </w:style>
  <w:style w:type="paragraph" w:styleId="FootnoteText">
    <w:name w:val="footnote text"/>
    <w:basedOn w:val="Normal"/>
    <w:link w:val="FootnoteTextChar"/>
    <w:qFormat/>
    <w:rsid w:val="00011564"/>
    <w:pPr>
      <w:spacing w:before="120" w:after="120" w:line="180" w:lineRule="exact"/>
      <w:ind w:left="142" w:hanging="142"/>
      <w:jc w:val="both"/>
    </w:pPr>
    <w:rPr>
      <w:rFonts w:ascii="Arial" w:eastAsia="Arial" w:hAnsi="Arial"/>
      <w:sz w:val="16"/>
      <w:szCs w:val="16"/>
      <w:lang w:val="ro-RO" w:eastAsia="de-DE"/>
    </w:rPr>
  </w:style>
  <w:style w:type="character" w:customStyle="1" w:styleId="FootnoteTextChar">
    <w:name w:val="Footnote Text Char"/>
    <w:basedOn w:val="DefaultParagraphFont"/>
    <w:link w:val="FootnoteText"/>
    <w:rsid w:val="00011564"/>
    <w:rPr>
      <w:rFonts w:ascii="Arial" w:eastAsia="Arial" w:hAnsi="Arial" w:cs="Times New Roman"/>
      <w:kern w:val="0"/>
      <w:sz w:val="16"/>
      <w:szCs w:val="16"/>
      <w:lang w:val="ro-RO"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011564"/>
    <w:rPr>
      <w:rFonts w:ascii="Arial" w:hAnsi="Arial" w:cs="Times New Roman"/>
      <w:kern w:val="0"/>
      <w:position w:val="4"/>
      <w:sz w:val="12"/>
      <w:szCs w:val="12"/>
      <w:vertAlign w:val="baseline"/>
    </w:rPr>
  </w:style>
  <w:style w:type="paragraph" w:customStyle="1" w:styleId="Tabelleninhalt">
    <w:name w:val="Tabelleninhalt"/>
    <w:basedOn w:val="Normal"/>
    <w:qFormat/>
    <w:rsid w:val="003042F0"/>
    <w:pPr>
      <w:spacing w:line="259" w:lineRule="auto"/>
    </w:pPr>
    <w:rPr>
      <w:rFonts w:ascii="Liberation Serif" w:eastAsia="SimSun" w:hAnsi="Liberation Serif" w:cs="Lucida Sans"/>
      <w:lang w:val="ro-RO" w:eastAsia="zh-CN" w:bidi="hi-IN"/>
    </w:rPr>
  </w:style>
  <w:style w:type="paragraph" w:styleId="BodyText">
    <w:name w:val="Body Text"/>
    <w:basedOn w:val="Normal"/>
    <w:link w:val="BodyTextChar"/>
    <w:rsid w:val="00EE6234"/>
    <w:pPr>
      <w:spacing w:after="140" w:line="259" w:lineRule="auto"/>
    </w:pPr>
    <w:rPr>
      <w:rFonts w:ascii="Liberation Serif" w:eastAsia="SimSun" w:hAnsi="Liberation Serif" w:cs="Lucida Sans"/>
      <w:lang w:val="ro-RO" w:eastAsia="zh-CN" w:bidi="hi-IN"/>
    </w:rPr>
  </w:style>
  <w:style w:type="character" w:customStyle="1" w:styleId="BodyTextChar">
    <w:name w:val="Body Text Char"/>
    <w:basedOn w:val="DefaultParagraphFont"/>
    <w:link w:val="BodyText"/>
    <w:rsid w:val="00EE6234"/>
    <w:rPr>
      <w:rFonts w:ascii="Liberation Serif" w:eastAsia="SimSun" w:hAnsi="Liberation Serif" w:cs="Lucida Sans"/>
      <w:kern w:val="0"/>
      <w:sz w:val="24"/>
      <w:szCs w:val="24"/>
      <w:lang w:val="ro-RO" w:eastAsia="zh-CN" w:bidi="hi-IN"/>
    </w:rPr>
  </w:style>
  <w:style w:type="paragraph" w:customStyle="1" w:styleId="pf0">
    <w:name w:val="pf0"/>
    <w:basedOn w:val="Normal"/>
    <w:rsid w:val="00256E86"/>
    <w:pPr>
      <w:spacing w:before="100" w:beforeAutospacing="1" w:after="100" w:afterAutospacing="1"/>
    </w:pPr>
    <w:rPr>
      <w:lang w:val="ro-MD" w:eastAsia="ro-MD"/>
    </w:rPr>
  </w:style>
  <w:style w:type="character" w:customStyle="1" w:styleId="cf01">
    <w:name w:val="cf01"/>
    <w:basedOn w:val="DefaultParagraphFont"/>
    <w:rsid w:val="00256E86"/>
    <w:rPr>
      <w:rFonts w:ascii="Segoe UI" w:hAnsi="Segoe UI" w:cs="Segoe UI" w:hint="default"/>
      <w:sz w:val="18"/>
      <w:szCs w:val="18"/>
    </w:rPr>
  </w:style>
  <w:style w:type="character" w:customStyle="1" w:styleId="cf11">
    <w:name w:val="cf11"/>
    <w:basedOn w:val="DefaultParagraphFont"/>
    <w:rsid w:val="00256E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6486">
      <w:bodyDiv w:val="1"/>
      <w:marLeft w:val="0"/>
      <w:marRight w:val="0"/>
      <w:marTop w:val="0"/>
      <w:marBottom w:val="0"/>
      <w:divBdr>
        <w:top w:val="none" w:sz="0" w:space="0" w:color="auto"/>
        <w:left w:val="none" w:sz="0" w:space="0" w:color="auto"/>
        <w:bottom w:val="none" w:sz="0" w:space="0" w:color="auto"/>
        <w:right w:val="none" w:sz="0" w:space="0" w:color="auto"/>
      </w:divBdr>
    </w:div>
    <w:div w:id="533230975">
      <w:bodyDiv w:val="1"/>
      <w:marLeft w:val="0"/>
      <w:marRight w:val="0"/>
      <w:marTop w:val="0"/>
      <w:marBottom w:val="0"/>
      <w:divBdr>
        <w:top w:val="none" w:sz="0" w:space="0" w:color="auto"/>
        <w:left w:val="none" w:sz="0" w:space="0" w:color="auto"/>
        <w:bottom w:val="none" w:sz="0" w:space="0" w:color="auto"/>
        <w:right w:val="none" w:sz="0" w:space="0" w:color="auto"/>
      </w:divBdr>
    </w:div>
    <w:div w:id="1076627091">
      <w:bodyDiv w:val="1"/>
      <w:marLeft w:val="0"/>
      <w:marRight w:val="0"/>
      <w:marTop w:val="0"/>
      <w:marBottom w:val="0"/>
      <w:divBdr>
        <w:top w:val="none" w:sz="0" w:space="0" w:color="auto"/>
        <w:left w:val="none" w:sz="0" w:space="0" w:color="auto"/>
        <w:bottom w:val="none" w:sz="0" w:space="0" w:color="auto"/>
        <w:right w:val="none" w:sz="0" w:space="0" w:color="auto"/>
      </w:divBdr>
    </w:div>
    <w:div w:id="1359233645">
      <w:bodyDiv w:val="1"/>
      <w:marLeft w:val="0"/>
      <w:marRight w:val="0"/>
      <w:marTop w:val="0"/>
      <w:marBottom w:val="0"/>
      <w:divBdr>
        <w:top w:val="none" w:sz="0" w:space="0" w:color="auto"/>
        <w:left w:val="none" w:sz="0" w:space="0" w:color="auto"/>
        <w:bottom w:val="none" w:sz="0" w:space="0" w:color="auto"/>
        <w:right w:val="none" w:sz="0" w:space="0" w:color="auto"/>
      </w:divBdr>
    </w:div>
    <w:div w:id="1408840102">
      <w:bodyDiv w:val="1"/>
      <w:marLeft w:val="0"/>
      <w:marRight w:val="0"/>
      <w:marTop w:val="0"/>
      <w:marBottom w:val="0"/>
      <w:divBdr>
        <w:top w:val="none" w:sz="0" w:space="0" w:color="auto"/>
        <w:left w:val="none" w:sz="0" w:space="0" w:color="auto"/>
        <w:bottom w:val="none" w:sz="0" w:space="0" w:color="auto"/>
        <w:right w:val="none" w:sz="0" w:space="0" w:color="auto"/>
      </w:divBdr>
    </w:div>
    <w:div w:id="186150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4dd1a5aa-3a4e-4fa3-9f56-1608cd304054</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8409E2CF-42E1-4028-B8B2-96EAE3803448}">
  <ds:schemaRefs>
    <ds:schemaRef ds:uri="http://purl.org/dc/terms/"/>
    <ds:schemaRef ds:uri="ab897e66-8555-453e-a498-d234c2d9a514"/>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5B0E277-2AAF-482C-92FD-7D6B2B969A9E}">
  <ds:schemaRefs>
    <ds:schemaRef ds:uri="http://schemas.microsoft.com/sharepoint/v3/contenttype/forms"/>
  </ds:schemaRefs>
</ds:datastoreItem>
</file>

<file path=customXml/itemProps3.xml><?xml version="1.0" encoding="utf-8"?>
<ds:datastoreItem xmlns:ds="http://schemas.openxmlformats.org/officeDocument/2006/customXml" ds:itemID="{4C33AA37-FCD8-44A0-8FE7-B81523F18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839BB-9730-4C09-809D-1F2125DFC4F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57</Pages>
  <Words>19202</Words>
  <Characters>111377</Characters>
  <Application>Microsoft Office Word</Application>
  <DocSecurity>0</DocSecurity>
  <Lines>928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2026-05-19T07:16:00Z</dcterms:created>
  <dcterms:modified xsi:type="dcterms:W3CDTF">2026-06-19T10:53:00Z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4dd1a5aa-3a4e-4fa3-9f56-1608cd304054</vt:lpwstr>
  </property>
  <property fmtid="{D5CDD505-2E9C-101B-9397-08002B2CF9AE}" pid="3" name="Clasificare">
    <vt:lpwstr>SP-2</vt:lpwstr>
  </property>
  <property fmtid="{D5CDD505-2E9C-101B-9397-08002B2CF9AE}" pid="4" name="ClassificationContentMarkingHeaderShapeIds">
    <vt:lpwstr>1,2,3</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4,5,6</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2025-02-06T12:30:26Z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2d2c2a6f-1b70-49ba-a6f9-4175229a85fb</vt:lpwstr>
  </property>
  <property fmtid="{D5CDD505-2E9C-101B-9397-08002B2CF9AE}" pid="16" name="MSIP_Label_70108aff-3426-4749-9d04-de3a5077dcce_ContentBits">
    <vt:lpwstr>3</vt:lpwstr>
  </property>
  <property fmtid="{D5CDD505-2E9C-101B-9397-08002B2CF9AE}" pid="17" name="ContentTypeId">
    <vt:lpwstr>0x01010041CC8FD9FC602D47942046F00E7457D2</vt:lpwstr>
  </property>
</Properties>
</file>